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D2647" w:rsidRPr="004B3917" w:rsidRDefault="00B5203C" w:rsidP="001D2647">
      <w:pPr>
        <w:jc w:val="center"/>
      </w:pPr>
      <w:r w:rsidRPr="003C5512">
        <w:rPr>
          <w:sz w:val="22"/>
          <w:szCs w:val="22"/>
        </w:rPr>
        <w:t xml:space="preserve">Запрос котировок </w:t>
      </w:r>
      <w:r w:rsidRPr="00650813">
        <w:rPr>
          <w:color w:val="000000" w:themeColor="text1"/>
          <w:sz w:val="22"/>
          <w:szCs w:val="22"/>
        </w:rPr>
        <w:t>№</w:t>
      </w:r>
      <w:r w:rsidR="00A57EAA" w:rsidRPr="00650813">
        <w:rPr>
          <w:color w:val="000000" w:themeColor="text1"/>
          <w:sz w:val="22"/>
          <w:szCs w:val="22"/>
        </w:rPr>
        <w:t>4</w:t>
      </w:r>
      <w:r w:rsidR="00650813" w:rsidRPr="00650813">
        <w:rPr>
          <w:color w:val="000000" w:themeColor="text1"/>
          <w:sz w:val="22"/>
          <w:szCs w:val="22"/>
        </w:rPr>
        <w:t>9</w:t>
      </w:r>
      <w:r w:rsidR="00035165" w:rsidRPr="0027675B">
        <w:rPr>
          <w:color w:val="000000" w:themeColor="text1"/>
          <w:sz w:val="22"/>
          <w:szCs w:val="22"/>
        </w:rPr>
        <w:t xml:space="preserve"> </w:t>
      </w:r>
      <w:r w:rsidR="000A6BF1" w:rsidRPr="00F43A8D">
        <w:rPr>
          <w:bCs/>
        </w:rPr>
        <w:t xml:space="preserve">на право заключения договора </w:t>
      </w:r>
      <w:r w:rsidR="001D2647" w:rsidRPr="00516B9B">
        <w:t xml:space="preserve">на приобретение </w:t>
      </w:r>
      <w:r w:rsidR="00B248B4" w:rsidRPr="00B248B4">
        <w:t>Анализатор</w:t>
      </w:r>
      <w:r w:rsidR="00B248B4">
        <w:t>а</w:t>
      </w:r>
      <w:r w:rsidR="00B248B4" w:rsidRPr="00B248B4">
        <w:t xml:space="preserve"> паров этанола в выдыхаемом воздухе «АЛКОТЕКТОР» в исполнениях «Юпитер»</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E80444">
        <w:rPr>
          <w:sz w:val="22"/>
          <w:szCs w:val="22"/>
        </w:rPr>
        <w:t>Частное учреждение здравоохранения «Поликлиника «РЖД-Медицина» города Стерлитамак», сокращенное наименование ЧУЗ «РЖД-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r w:rsidR="00B5203C">
        <w:rPr>
          <w:bCs/>
        </w:rPr>
        <w:t>Нагуманова,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Контактное лицо:</w:t>
      </w:r>
      <w:r w:rsidR="0019581D">
        <w:rPr>
          <w:sz w:val="22"/>
          <w:szCs w:val="22"/>
        </w:rPr>
        <w:t xml:space="preserve"> ст. м/с ОПМП Кривошеева Л.В.</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приобретение </w:t>
      </w:r>
      <w:r w:rsidR="00962153" w:rsidRPr="00962153">
        <w:t>Анализатора паров этанола в выдыхаемом воздухе «АЛКОТЕКТОР» в исполнениях «Юпитер»</w:t>
      </w:r>
    </w:p>
    <w:p w:rsidR="00962153" w:rsidRDefault="009E49FE" w:rsidP="009E49FE">
      <w:pPr>
        <w:rPr>
          <w:color w:val="000000"/>
          <w:sz w:val="20"/>
          <w:szCs w:val="20"/>
        </w:rPr>
      </w:pPr>
      <w:r>
        <w:rPr>
          <w:color w:val="000000"/>
          <w:sz w:val="20"/>
          <w:szCs w:val="20"/>
        </w:rPr>
        <w:t xml:space="preserve">                                                                           </w:t>
      </w:r>
      <w:r w:rsidR="00962153">
        <w:rPr>
          <w:color w:val="000000"/>
          <w:sz w:val="20"/>
          <w:szCs w:val="20"/>
        </w:rPr>
        <w:t xml:space="preserve">                                    </w:t>
      </w:r>
    </w:p>
    <w:p w:rsidR="003C5512" w:rsidRPr="004A7484" w:rsidRDefault="003C5512" w:rsidP="00962153">
      <w:pPr>
        <w:jc w:val="center"/>
        <w:rPr>
          <w:b/>
          <w:sz w:val="22"/>
          <w:szCs w:val="22"/>
        </w:rPr>
      </w:pPr>
      <w:r w:rsidRPr="004A7484">
        <w:rPr>
          <w:b/>
          <w:sz w:val="22"/>
          <w:szCs w:val="22"/>
        </w:rPr>
        <w:t>ОПИСАНИЕ ОБЪЕКТА ЗАКУПКИ</w:t>
      </w: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sidR="0027675B">
        <w:rPr>
          <w:lang w:eastAsia="ar-SA"/>
        </w:rPr>
        <w:t>поставки товара</w:t>
      </w:r>
      <w:r w:rsidR="00372F59" w:rsidRPr="00C52E26">
        <w:rPr>
          <w:lang w:eastAsia="ar-SA"/>
        </w:rPr>
        <w:t xml:space="preserve">: </w:t>
      </w:r>
      <w:r>
        <w:rPr>
          <w:color w:val="000000"/>
        </w:rPr>
        <w:t xml:space="preserve">с момента заключения договора в течении </w:t>
      </w:r>
      <w:r w:rsidR="0027675B" w:rsidRPr="0027675B">
        <w:rPr>
          <w:color w:val="000000" w:themeColor="text1"/>
        </w:rPr>
        <w:t>3</w:t>
      </w:r>
      <w:r w:rsidRPr="0027675B">
        <w:rPr>
          <w:color w:val="000000" w:themeColor="text1"/>
        </w:rPr>
        <w:t>0 (</w:t>
      </w:r>
      <w:r w:rsidR="0027675B" w:rsidRPr="0027675B">
        <w:rPr>
          <w:color w:val="000000" w:themeColor="text1"/>
        </w:rPr>
        <w:t>тридца</w:t>
      </w:r>
      <w:r w:rsidRPr="0027675B">
        <w:rPr>
          <w:color w:val="000000" w:themeColor="text1"/>
        </w:rPr>
        <w:t>ти) дней</w:t>
      </w:r>
      <w:r w:rsidRPr="0027675B">
        <w:rPr>
          <w:color w:val="000000" w:themeColor="text1"/>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Default="003C5512" w:rsidP="003C5512">
      <w:pPr>
        <w:pStyle w:val="a4"/>
        <w:rPr>
          <w:b w:val="0"/>
          <w:sz w:val="22"/>
        </w:rPr>
      </w:pPr>
      <w:r w:rsidRPr="006E44B5">
        <w:rPr>
          <w:b w:val="0"/>
          <w:sz w:val="22"/>
        </w:rPr>
        <w:t>Техническое задание</w:t>
      </w:r>
    </w:p>
    <w:p w:rsidR="00B248B4" w:rsidRDefault="00B248B4" w:rsidP="003C5512">
      <w:pPr>
        <w:pStyle w:val="a4"/>
        <w:rPr>
          <w:b w:val="0"/>
          <w:sz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0"/>
        <w:gridCol w:w="7850"/>
      </w:tblGrid>
      <w:tr w:rsidR="00B248B4" w:rsidRPr="00B248B4" w:rsidTr="00B248B4">
        <w:trPr>
          <w:tblCellSpacing w:w="15" w:type="dxa"/>
        </w:trPr>
        <w:tc>
          <w:tcPr>
            <w:tcW w:w="2486" w:type="pct"/>
            <w:vAlign w:val="center"/>
          </w:tcPr>
          <w:p w:rsidR="00B248B4" w:rsidRPr="00B248B4" w:rsidRDefault="00B248B4" w:rsidP="00B248B4">
            <w:r>
              <w:rPr>
                <w:b/>
                <w:bCs/>
                <w:color w:val="000000"/>
                <w:sz w:val="20"/>
                <w:szCs w:val="20"/>
              </w:rPr>
              <w:t>Наименование разделов технического задания</w:t>
            </w:r>
          </w:p>
        </w:tc>
        <w:tc>
          <w:tcPr>
            <w:tcW w:w="2486" w:type="pct"/>
            <w:vAlign w:val="center"/>
            <w:hideMark/>
          </w:tcPr>
          <w:p w:rsidR="00B248B4" w:rsidRPr="00B248B4" w:rsidRDefault="00B248B4" w:rsidP="00B248B4">
            <w:r>
              <w:rPr>
                <w:b/>
                <w:bCs/>
                <w:color w:val="000000"/>
                <w:sz w:val="20"/>
                <w:szCs w:val="20"/>
              </w:rPr>
              <w:t>Требуемое значение</w:t>
            </w:r>
          </w:p>
        </w:tc>
      </w:tr>
      <w:tr w:rsidR="00B248B4" w:rsidRPr="00B248B4" w:rsidTr="00B248B4">
        <w:trPr>
          <w:tblCellSpacing w:w="15" w:type="dxa"/>
        </w:trPr>
        <w:tc>
          <w:tcPr>
            <w:tcW w:w="2486" w:type="pct"/>
            <w:vAlign w:val="center"/>
          </w:tcPr>
          <w:p w:rsidR="00B248B4" w:rsidRPr="00B248B4" w:rsidRDefault="00B248B4" w:rsidP="004B714C">
            <w:r w:rsidRPr="00B248B4">
              <w:t>датчик для измерения массовой концентрации паров этанола</w:t>
            </w:r>
          </w:p>
        </w:tc>
        <w:tc>
          <w:tcPr>
            <w:tcW w:w="2486" w:type="pct"/>
            <w:vAlign w:val="center"/>
          </w:tcPr>
          <w:p w:rsidR="00B248B4" w:rsidRPr="00B248B4" w:rsidRDefault="00B248B4" w:rsidP="00B248B4">
            <w:r w:rsidRPr="00B248B4">
              <w:t>электрохимический;</w:t>
            </w:r>
          </w:p>
        </w:tc>
      </w:tr>
      <w:tr w:rsidR="00B248B4" w:rsidRPr="00B248B4" w:rsidTr="00B248B4">
        <w:trPr>
          <w:tblCellSpacing w:w="15" w:type="dxa"/>
        </w:trPr>
        <w:tc>
          <w:tcPr>
            <w:tcW w:w="2486" w:type="pct"/>
            <w:vAlign w:val="center"/>
            <w:hideMark/>
          </w:tcPr>
          <w:p w:rsidR="00B248B4" w:rsidRPr="00B248B4" w:rsidRDefault="00B248B4" w:rsidP="00B248B4">
            <w:r w:rsidRPr="00B248B4">
              <w:t>срок службы электрохимического датчика</w:t>
            </w:r>
          </w:p>
        </w:tc>
        <w:tc>
          <w:tcPr>
            <w:tcW w:w="2486" w:type="pct"/>
            <w:vAlign w:val="center"/>
            <w:hideMark/>
          </w:tcPr>
          <w:p w:rsidR="00B248B4" w:rsidRPr="00B248B4" w:rsidRDefault="00B248B4" w:rsidP="00B248B4">
            <w:r w:rsidRPr="00B248B4">
              <w:t>не менее 2 лет;</w:t>
            </w:r>
          </w:p>
        </w:tc>
      </w:tr>
      <w:tr w:rsidR="00B248B4" w:rsidRPr="00B248B4" w:rsidTr="00B248B4">
        <w:trPr>
          <w:tblCellSpacing w:w="15" w:type="dxa"/>
        </w:trPr>
        <w:tc>
          <w:tcPr>
            <w:tcW w:w="2486" w:type="pct"/>
            <w:vAlign w:val="center"/>
            <w:hideMark/>
          </w:tcPr>
          <w:p w:rsidR="00B248B4" w:rsidRPr="00B248B4" w:rsidRDefault="00B248B4" w:rsidP="00B248B4">
            <w:r w:rsidRPr="00B248B4">
              <w:t>диапазон измерений</w:t>
            </w:r>
          </w:p>
        </w:tc>
        <w:tc>
          <w:tcPr>
            <w:tcW w:w="2486" w:type="pct"/>
            <w:vAlign w:val="center"/>
            <w:hideMark/>
          </w:tcPr>
          <w:p w:rsidR="00B248B4" w:rsidRPr="00B248B4" w:rsidRDefault="00B248B4" w:rsidP="00B248B4">
            <w:r w:rsidRPr="00B248B4">
              <w:t>0, 000 — 1, 200 мг/л;</w:t>
            </w:r>
          </w:p>
        </w:tc>
      </w:tr>
      <w:tr w:rsidR="00B248B4" w:rsidRPr="00B248B4" w:rsidTr="00B248B4">
        <w:trPr>
          <w:tblCellSpacing w:w="15" w:type="dxa"/>
        </w:trPr>
        <w:tc>
          <w:tcPr>
            <w:tcW w:w="2486" w:type="pct"/>
            <w:vAlign w:val="center"/>
            <w:hideMark/>
          </w:tcPr>
          <w:p w:rsidR="00B248B4" w:rsidRPr="00B248B4" w:rsidRDefault="00B248B4" w:rsidP="00B248B4">
            <w:r w:rsidRPr="00B248B4">
              <w:t>диапазон показаний</w:t>
            </w:r>
          </w:p>
        </w:tc>
        <w:tc>
          <w:tcPr>
            <w:tcW w:w="2486" w:type="pct"/>
            <w:vAlign w:val="center"/>
            <w:hideMark/>
          </w:tcPr>
          <w:p w:rsidR="00B248B4" w:rsidRPr="00B248B4" w:rsidRDefault="00B248B4" w:rsidP="00B248B4">
            <w:r w:rsidRPr="00B248B4">
              <w:t>0, 000 — 2, 500 мг/л;</w:t>
            </w:r>
          </w:p>
        </w:tc>
      </w:tr>
      <w:tr w:rsidR="00B248B4" w:rsidRPr="00B248B4" w:rsidTr="00B248B4">
        <w:trPr>
          <w:tblCellSpacing w:w="15" w:type="dxa"/>
        </w:trPr>
        <w:tc>
          <w:tcPr>
            <w:tcW w:w="2486" w:type="pct"/>
            <w:vAlign w:val="center"/>
            <w:hideMark/>
          </w:tcPr>
          <w:p w:rsidR="00B248B4" w:rsidRPr="00B248B4" w:rsidRDefault="00B248B4" w:rsidP="00B248B4">
            <w:r w:rsidRPr="00B248B4">
              <w:t>цена младшего разряда шкалы</w:t>
            </w:r>
          </w:p>
        </w:tc>
        <w:tc>
          <w:tcPr>
            <w:tcW w:w="2486" w:type="pct"/>
            <w:vAlign w:val="center"/>
            <w:hideMark/>
          </w:tcPr>
          <w:p w:rsidR="00B248B4" w:rsidRPr="00B248B4" w:rsidRDefault="00B248B4" w:rsidP="00B248B4">
            <w:r w:rsidRPr="00B248B4">
              <w:t>0, 001 мг/л;</w:t>
            </w:r>
          </w:p>
        </w:tc>
      </w:tr>
      <w:tr w:rsidR="00B248B4" w:rsidRPr="00B248B4" w:rsidTr="00B248B4">
        <w:trPr>
          <w:tblCellSpacing w:w="15" w:type="dxa"/>
        </w:trPr>
        <w:tc>
          <w:tcPr>
            <w:tcW w:w="2486" w:type="pct"/>
            <w:vAlign w:val="center"/>
            <w:hideMark/>
          </w:tcPr>
          <w:p w:rsidR="00B248B4" w:rsidRPr="00B248B4" w:rsidRDefault="00B248B4" w:rsidP="00B248B4">
            <w:r w:rsidRPr="00B248B4">
              <w:t>время подготовки к работе после включения</w:t>
            </w:r>
          </w:p>
        </w:tc>
        <w:tc>
          <w:tcPr>
            <w:tcW w:w="2486" w:type="pct"/>
            <w:vAlign w:val="center"/>
            <w:hideMark/>
          </w:tcPr>
          <w:p w:rsidR="00B248B4" w:rsidRPr="00B248B4" w:rsidRDefault="00B248B4" w:rsidP="00B248B4">
            <w:r w:rsidRPr="00B248B4">
              <w:t>не более 5 секунд;</w:t>
            </w:r>
          </w:p>
        </w:tc>
      </w:tr>
      <w:tr w:rsidR="00B248B4" w:rsidRPr="00B248B4" w:rsidTr="00B248B4">
        <w:trPr>
          <w:tblCellSpacing w:w="15" w:type="dxa"/>
        </w:trPr>
        <w:tc>
          <w:tcPr>
            <w:tcW w:w="2486" w:type="pct"/>
            <w:vAlign w:val="center"/>
            <w:hideMark/>
          </w:tcPr>
          <w:p w:rsidR="00B248B4" w:rsidRPr="00B248B4" w:rsidRDefault="00B248B4" w:rsidP="00B248B4">
            <w:r w:rsidRPr="00B248B4">
              <w:t>время измерения после отбора пробы</w:t>
            </w:r>
          </w:p>
        </w:tc>
        <w:tc>
          <w:tcPr>
            <w:tcW w:w="2486" w:type="pct"/>
            <w:vAlign w:val="center"/>
            <w:hideMark/>
          </w:tcPr>
          <w:p w:rsidR="00B248B4" w:rsidRPr="00B248B4" w:rsidRDefault="00B248B4" w:rsidP="00B248B4">
            <w:r w:rsidRPr="00B248B4">
              <w:t>не более 10 секунд;</w:t>
            </w:r>
          </w:p>
        </w:tc>
      </w:tr>
      <w:tr w:rsidR="00B248B4" w:rsidRPr="00B248B4" w:rsidTr="00B248B4">
        <w:trPr>
          <w:tblCellSpacing w:w="15" w:type="dxa"/>
        </w:trPr>
        <w:tc>
          <w:tcPr>
            <w:tcW w:w="2486" w:type="pct"/>
            <w:vAlign w:val="center"/>
            <w:hideMark/>
          </w:tcPr>
          <w:p w:rsidR="00B248B4" w:rsidRPr="00B248B4" w:rsidRDefault="00B248B4" w:rsidP="00B248B4">
            <w:r w:rsidRPr="00B248B4">
              <w:t>время подготовки к работе после измерения</w:t>
            </w:r>
          </w:p>
        </w:tc>
        <w:tc>
          <w:tcPr>
            <w:tcW w:w="2486" w:type="pct"/>
            <w:vAlign w:val="center"/>
            <w:hideMark/>
          </w:tcPr>
          <w:p w:rsidR="00B248B4" w:rsidRPr="00B248B4" w:rsidRDefault="00B248B4" w:rsidP="00B248B4">
            <w:r w:rsidRPr="00B248B4">
              <w:t>не более 10 секунд;</w:t>
            </w:r>
          </w:p>
        </w:tc>
      </w:tr>
      <w:tr w:rsidR="00B248B4" w:rsidRPr="00B248B4" w:rsidTr="00B248B4">
        <w:trPr>
          <w:tblCellSpacing w:w="15" w:type="dxa"/>
        </w:trPr>
        <w:tc>
          <w:tcPr>
            <w:tcW w:w="2486" w:type="pct"/>
            <w:vAlign w:val="center"/>
            <w:hideMark/>
          </w:tcPr>
          <w:p w:rsidR="00B248B4" w:rsidRPr="00B248B4" w:rsidRDefault="00B248B4" w:rsidP="00B248B4">
            <w:r w:rsidRPr="00B248B4">
              <w:t>интервал времени работы без корректировки показаний</w:t>
            </w:r>
          </w:p>
        </w:tc>
        <w:tc>
          <w:tcPr>
            <w:tcW w:w="2486" w:type="pct"/>
            <w:vAlign w:val="center"/>
            <w:hideMark/>
          </w:tcPr>
          <w:p w:rsidR="00B248B4" w:rsidRPr="00B248B4" w:rsidRDefault="00B248B4" w:rsidP="00B248B4">
            <w:r w:rsidRPr="00B248B4">
              <w:t>не менее 12 месяцев (проводится при поверке по необходимости);</w:t>
            </w:r>
          </w:p>
        </w:tc>
      </w:tr>
      <w:tr w:rsidR="00B248B4" w:rsidRPr="00B248B4" w:rsidTr="00B248B4">
        <w:trPr>
          <w:tblCellSpacing w:w="15" w:type="dxa"/>
        </w:trPr>
        <w:tc>
          <w:tcPr>
            <w:tcW w:w="2486" w:type="pct"/>
            <w:vAlign w:val="center"/>
            <w:hideMark/>
          </w:tcPr>
          <w:p w:rsidR="00B248B4" w:rsidRPr="00B248B4" w:rsidRDefault="00B248B4" w:rsidP="00B248B4">
            <w:r w:rsidRPr="00B248B4">
              <w:t>bluetooth</w:t>
            </w:r>
          </w:p>
        </w:tc>
        <w:tc>
          <w:tcPr>
            <w:tcW w:w="2486" w:type="pct"/>
            <w:vAlign w:val="center"/>
            <w:hideMark/>
          </w:tcPr>
          <w:p w:rsidR="00B248B4" w:rsidRPr="00B248B4" w:rsidRDefault="00B248B4" w:rsidP="00B248B4">
            <w:r w:rsidRPr="00B248B4">
              <w:t xml:space="preserve">есть, </w:t>
            </w:r>
          </w:p>
        </w:tc>
      </w:tr>
      <w:tr w:rsidR="00B248B4" w:rsidRPr="00B248B4" w:rsidTr="00B248B4">
        <w:trPr>
          <w:tblCellSpacing w:w="15" w:type="dxa"/>
        </w:trPr>
        <w:tc>
          <w:tcPr>
            <w:tcW w:w="2486" w:type="pct"/>
            <w:vAlign w:val="center"/>
            <w:hideMark/>
          </w:tcPr>
          <w:p w:rsidR="00B248B4" w:rsidRPr="00B248B4" w:rsidRDefault="00B248B4" w:rsidP="00B248B4">
            <w:r w:rsidRPr="00B248B4">
              <w:t>приемник системы позиционирования</w:t>
            </w:r>
          </w:p>
        </w:tc>
        <w:tc>
          <w:tcPr>
            <w:tcW w:w="2486" w:type="pct"/>
            <w:vAlign w:val="center"/>
            <w:hideMark/>
          </w:tcPr>
          <w:p w:rsidR="00B248B4" w:rsidRPr="00B248B4" w:rsidRDefault="00B248B4" w:rsidP="00B248B4">
            <w:r w:rsidRPr="00B248B4">
              <w:t>встроенный (GPS и/или ГЛОНАСС);</w:t>
            </w:r>
          </w:p>
        </w:tc>
      </w:tr>
      <w:tr w:rsidR="00B248B4" w:rsidRPr="00B248B4" w:rsidTr="00B248B4">
        <w:trPr>
          <w:tblCellSpacing w:w="15" w:type="dxa"/>
        </w:trPr>
        <w:tc>
          <w:tcPr>
            <w:tcW w:w="2486" w:type="pct"/>
            <w:vAlign w:val="center"/>
            <w:hideMark/>
          </w:tcPr>
          <w:p w:rsidR="00B248B4" w:rsidRPr="00B248B4" w:rsidRDefault="00B248B4" w:rsidP="00B248B4">
            <w:r w:rsidRPr="00B248B4">
              <w:t>память</w:t>
            </w:r>
          </w:p>
        </w:tc>
        <w:tc>
          <w:tcPr>
            <w:tcW w:w="2486" w:type="pct"/>
            <w:vAlign w:val="center"/>
            <w:hideMark/>
          </w:tcPr>
          <w:p w:rsidR="00B248B4" w:rsidRPr="00B248B4" w:rsidRDefault="00B248B4" w:rsidP="00B248B4">
            <w:r w:rsidRPr="00B248B4">
              <w:t>не менее 20000 тестов;</w:t>
            </w:r>
          </w:p>
        </w:tc>
      </w:tr>
      <w:tr w:rsidR="00B248B4" w:rsidRPr="00B248B4" w:rsidTr="00B248B4">
        <w:trPr>
          <w:tblCellSpacing w:w="15" w:type="dxa"/>
        </w:trPr>
        <w:tc>
          <w:tcPr>
            <w:tcW w:w="2486" w:type="pct"/>
            <w:vAlign w:val="center"/>
            <w:hideMark/>
          </w:tcPr>
          <w:p w:rsidR="00B248B4" w:rsidRPr="00B248B4" w:rsidRDefault="00B248B4" w:rsidP="00B248B4">
            <w:r w:rsidRPr="00B248B4">
              <w:t>время автоматического отключения</w:t>
            </w:r>
          </w:p>
        </w:tc>
        <w:tc>
          <w:tcPr>
            <w:tcW w:w="2486" w:type="pct"/>
            <w:vAlign w:val="center"/>
            <w:hideMark/>
          </w:tcPr>
          <w:p w:rsidR="00B248B4" w:rsidRPr="00B248B4" w:rsidRDefault="00B248B4" w:rsidP="00B248B4">
            <w:r w:rsidRPr="00B248B4">
              <w:t>1 / 2 / 5 / 10 мин. (устанавливается пользователем);</w:t>
            </w:r>
          </w:p>
        </w:tc>
      </w:tr>
      <w:tr w:rsidR="00B248B4" w:rsidRPr="00B248B4" w:rsidTr="00B248B4">
        <w:trPr>
          <w:tblCellSpacing w:w="15" w:type="dxa"/>
        </w:trPr>
        <w:tc>
          <w:tcPr>
            <w:tcW w:w="0" w:type="auto"/>
            <w:gridSpan w:val="2"/>
            <w:vAlign w:val="center"/>
            <w:hideMark/>
          </w:tcPr>
          <w:p w:rsidR="00B248B4" w:rsidRPr="00B248B4" w:rsidRDefault="00B248B4" w:rsidP="00B248B4">
            <w:pPr>
              <w:jc w:val="center"/>
              <w:rPr>
                <w:b/>
                <w:bCs/>
              </w:rPr>
            </w:pPr>
            <w:r w:rsidRPr="00B248B4">
              <w:rPr>
                <w:b/>
                <w:bCs/>
              </w:rPr>
              <w:t>Режимы работы алкометра</w:t>
            </w:r>
          </w:p>
        </w:tc>
      </w:tr>
      <w:tr w:rsidR="00B248B4" w:rsidRPr="00B248B4" w:rsidTr="00B248B4">
        <w:trPr>
          <w:tblCellSpacing w:w="15" w:type="dxa"/>
        </w:trPr>
        <w:tc>
          <w:tcPr>
            <w:tcW w:w="2486" w:type="pct"/>
            <w:vAlign w:val="center"/>
            <w:hideMark/>
          </w:tcPr>
          <w:p w:rsidR="00B248B4" w:rsidRPr="00B248B4" w:rsidRDefault="00B248B4" w:rsidP="00B248B4">
            <w:r w:rsidRPr="00B248B4">
              <w:t>режим измерения</w:t>
            </w:r>
          </w:p>
        </w:tc>
        <w:tc>
          <w:tcPr>
            <w:tcW w:w="2486" w:type="pct"/>
            <w:vAlign w:val="center"/>
            <w:hideMark/>
          </w:tcPr>
          <w:p w:rsidR="00B248B4" w:rsidRPr="00B248B4" w:rsidRDefault="00B248B4" w:rsidP="00B248B4">
            <w:r w:rsidRPr="00B248B4">
              <w:t>с вводом данных;</w:t>
            </w:r>
          </w:p>
        </w:tc>
      </w:tr>
      <w:tr w:rsidR="00B248B4" w:rsidRPr="00B248B4" w:rsidTr="00B248B4">
        <w:trPr>
          <w:tblCellSpacing w:w="15" w:type="dxa"/>
        </w:trPr>
        <w:tc>
          <w:tcPr>
            <w:tcW w:w="2486" w:type="pct"/>
            <w:vAlign w:val="center"/>
            <w:hideMark/>
          </w:tcPr>
          <w:p w:rsidR="00B248B4" w:rsidRPr="00B248B4" w:rsidRDefault="00B248B4" w:rsidP="00B248B4">
            <w:r w:rsidRPr="00B248B4">
              <w:t>режим измерения</w:t>
            </w:r>
          </w:p>
        </w:tc>
        <w:tc>
          <w:tcPr>
            <w:tcW w:w="2486" w:type="pct"/>
            <w:vAlign w:val="center"/>
            <w:hideMark/>
          </w:tcPr>
          <w:p w:rsidR="00B248B4" w:rsidRPr="00B248B4" w:rsidRDefault="00B248B4" w:rsidP="00B248B4">
            <w:r w:rsidRPr="00B248B4">
              <w:t>без ввода данных;</w:t>
            </w:r>
          </w:p>
        </w:tc>
      </w:tr>
      <w:tr w:rsidR="00B248B4" w:rsidRPr="00B248B4" w:rsidTr="00B248B4">
        <w:trPr>
          <w:tblCellSpacing w:w="15" w:type="dxa"/>
        </w:trPr>
        <w:tc>
          <w:tcPr>
            <w:tcW w:w="2486" w:type="pct"/>
            <w:vAlign w:val="center"/>
            <w:hideMark/>
          </w:tcPr>
          <w:p w:rsidR="00B248B4" w:rsidRPr="00B248B4" w:rsidRDefault="00B248B4" w:rsidP="00B248B4">
            <w:r w:rsidRPr="00B248B4">
              <w:lastRenderedPageBreak/>
              <w:t>режим скрининга</w:t>
            </w:r>
          </w:p>
        </w:tc>
        <w:tc>
          <w:tcPr>
            <w:tcW w:w="2486" w:type="pct"/>
            <w:vAlign w:val="center"/>
            <w:hideMark/>
          </w:tcPr>
          <w:p w:rsidR="00B248B4" w:rsidRPr="00B248B4" w:rsidRDefault="00B248B4" w:rsidP="00B248B4">
            <w:r w:rsidRPr="00B248B4">
              <w:t>режим предварительной оценки наличия алкоголя в выдыхаемом воздухе;</w:t>
            </w:r>
          </w:p>
        </w:tc>
      </w:tr>
      <w:tr w:rsidR="00B248B4" w:rsidRPr="00B248B4" w:rsidTr="00B248B4">
        <w:trPr>
          <w:tblCellSpacing w:w="15" w:type="dxa"/>
        </w:trPr>
        <w:tc>
          <w:tcPr>
            <w:tcW w:w="2486" w:type="pct"/>
            <w:vAlign w:val="center"/>
            <w:hideMark/>
          </w:tcPr>
          <w:p w:rsidR="00B248B4" w:rsidRPr="00B248B4" w:rsidRDefault="00B248B4" w:rsidP="00B248B4">
            <w:r w:rsidRPr="00B248B4">
              <w:t>служебные режимы</w:t>
            </w:r>
          </w:p>
        </w:tc>
        <w:tc>
          <w:tcPr>
            <w:tcW w:w="2486" w:type="pct"/>
            <w:vAlign w:val="center"/>
            <w:hideMark/>
          </w:tcPr>
          <w:p w:rsidR="00B248B4" w:rsidRPr="00B248B4" w:rsidRDefault="00B248B4" w:rsidP="00B248B4">
            <w:r w:rsidRPr="00B248B4">
              <w:t>режим корректировки и проверки показаний, режим проверки по сухому газу;</w:t>
            </w:r>
          </w:p>
        </w:tc>
      </w:tr>
      <w:tr w:rsidR="00B248B4" w:rsidRPr="00B248B4" w:rsidTr="00B248B4">
        <w:trPr>
          <w:tblCellSpacing w:w="15" w:type="dxa"/>
        </w:trPr>
        <w:tc>
          <w:tcPr>
            <w:tcW w:w="2486" w:type="pct"/>
            <w:vAlign w:val="center"/>
            <w:hideMark/>
          </w:tcPr>
          <w:p w:rsidR="00B248B4" w:rsidRPr="00B248B4" w:rsidRDefault="00B248B4" w:rsidP="00B248B4">
            <w:r w:rsidRPr="00B248B4">
              <w:t>режим передачи данных</w:t>
            </w:r>
          </w:p>
        </w:tc>
        <w:tc>
          <w:tcPr>
            <w:tcW w:w="2486" w:type="pct"/>
            <w:vAlign w:val="center"/>
            <w:hideMark/>
          </w:tcPr>
          <w:p w:rsidR="00B248B4" w:rsidRPr="00B248B4" w:rsidRDefault="00B248B4" w:rsidP="00B248B4">
            <w:r w:rsidRPr="00B248B4">
              <w:t>сохраненные протоколы измерений можно перенести из памяти алкометра на компьютер;</w:t>
            </w:r>
          </w:p>
        </w:tc>
      </w:tr>
      <w:tr w:rsidR="00B248B4" w:rsidRPr="00B248B4" w:rsidTr="00B248B4">
        <w:trPr>
          <w:tblCellSpacing w:w="15" w:type="dxa"/>
        </w:trPr>
        <w:tc>
          <w:tcPr>
            <w:tcW w:w="0" w:type="auto"/>
            <w:gridSpan w:val="2"/>
            <w:vAlign w:val="center"/>
            <w:hideMark/>
          </w:tcPr>
          <w:p w:rsidR="00B248B4" w:rsidRPr="00B248B4" w:rsidRDefault="00B248B4" w:rsidP="00B248B4">
            <w:pPr>
              <w:jc w:val="center"/>
              <w:rPr>
                <w:b/>
                <w:bCs/>
              </w:rPr>
            </w:pPr>
            <w:r w:rsidRPr="00B248B4">
              <w:rPr>
                <w:b/>
                <w:bCs/>
              </w:rPr>
              <w:t>Режимы отбора пробы</w:t>
            </w:r>
          </w:p>
        </w:tc>
      </w:tr>
      <w:tr w:rsidR="00B248B4" w:rsidRPr="00B248B4" w:rsidTr="00B248B4">
        <w:trPr>
          <w:tblCellSpacing w:w="15" w:type="dxa"/>
        </w:trPr>
        <w:tc>
          <w:tcPr>
            <w:tcW w:w="2486" w:type="pct"/>
            <w:vAlign w:val="center"/>
            <w:hideMark/>
          </w:tcPr>
          <w:p w:rsidR="00B248B4" w:rsidRPr="00B248B4" w:rsidRDefault="00B248B4" w:rsidP="00B248B4">
            <w:r w:rsidRPr="00B248B4">
              <w:t>автоматический</w:t>
            </w:r>
          </w:p>
        </w:tc>
        <w:tc>
          <w:tcPr>
            <w:tcW w:w="2486" w:type="pct"/>
            <w:vAlign w:val="center"/>
            <w:hideMark/>
          </w:tcPr>
          <w:p w:rsidR="00B248B4" w:rsidRPr="00B248B4" w:rsidRDefault="00B248B4" w:rsidP="00B248B4">
            <w:r w:rsidRPr="00B248B4">
              <w:t>заборная система активируется давлением, создаваемым выдохом обследуемого;</w:t>
            </w:r>
          </w:p>
        </w:tc>
      </w:tr>
      <w:tr w:rsidR="00B248B4" w:rsidRPr="00B248B4" w:rsidTr="00B248B4">
        <w:trPr>
          <w:tblCellSpacing w:w="15" w:type="dxa"/>
        </w:trPr>
        <w:tc>
          <w:tcPr>
            <w:tcW w:w="2486" w:type="pct"/>
            <w:vAlign w:val="center"/>
            <w:hideMark/>
          </w:tcPr>
          <w:p w:rsidR="00B248B4" w:rsidRPr="00B248B4" w:rsidRDefault="00B248B4" w:rsidP="00B248B4">
            <w:r w:rsidRPr="00B248B4">
              <w:t>ручной</w:t>
            </w:r>
          </w:p>
        </w:tc>
        <w:tc>
          <w:tcPr>
            <w:tcW w:w="2486" w:type="pct"/>
            <w:vAlign w:val="center"/>
            <w:hideMark/>
          </w:tcPr>
          <w:p w:rsidR="00B248B4" w:rsidRPr="00B248B4" w:rsidRDefault="00B248B4" w:rsidP="00B248B4">
            <w:r w:rsidRPr="00B248B4">
              <w:t>заборная система активируется нажатием на кнопку;</w:t>
            </w:r>
          </w:p>
        </w:tc>
      </w:tr>
      <w:tr w:rsidR="00B248B4" w:rsidRPr="00B248B4" w:rsidTr="00B248B4">
        <w:trPr>
          <w:tblCellSpacing w:w="15" w:type="dxa"/>
        </w:trPr>
        <w:tc>
          <w:tcPr>
            <w:tcW w:w="0" w:type="auto"/>
            <w:gridSpan w:val="2"/>
            <w:vAlign w:val="center"/>
            <w:hideMark/>
          </w:tcPr>
          <w:p w:rsidR="00B248B4" w:rsidRPr="00B248B4" w:rsidRDefault="00B248B4" w:rsidP="00B248B4">
            <w:pPr>
              <w:jc w:val="center"/>
              <w:rPr>
                <w:b/>
                <w:bCs/>
              </w:rPr>
            </w:pPr>
            <w:r w:rsidRPr="00B248B4">
              <w:rPr>
                <w:b/>
                <w:bCs/>
              </w:rPr>
              <w:t>Пределы допускаемой погрешности анализатора</w:t>
            </w:r>
          </w:p>
        </w:tc>
      </w:tr>
      <w:tr w:rsidR="00B248B4" w:rsidRPr="00B248B4" w:rsidTr="00B248B4">
        <w:trPr>
          <w:tblCellSpacing w:w="15" w:type="dxa"/>
        </w:trPr>
        <w:tc>
          <w:tcPr>
            <w:tcW w:w="2486" w:type="pct"/>
            <w:vAlign w:val="center"/>
            <w:hideMark/>
          </w:tcPr>
          <w:p w:rsidR="00B248B4" w:rsidRPr="00B248B4" w:rsidRDefault="00B248B4" w:rsidP="00B248B4">
            <w:r w:rsidRPr="00B248B4">
              <w:t>для диапазона измерений от 0 — 0, 200 мг/л — абсолютной погрешности</w:t>
            </w:r>
          </w:p>
        </w:tc>
        <w:tc>
          <w:tcPr>
            <w:tcW w:w="2486" w:type="pct"/>
            <w:vAlign w:val="center"/>
            <w:hideMark/>
          </w:tcPr>
          <w:p w:rsidR="00B248B4" w:rsidRPr="00B248B4" w:rsidRDefault="00B248B4" w:rsidP="00B248B4">
            <w:r w:rsidRPr="00B248B4">
              <w:t>±0, 020 мг/л;</w:t>
            </w:r>
          </w:p>
        </w:tc>
      </w:tr>
      <w:tr w:rsidR="00B248B4" w:rsidRPr="00B248B4" w:rsidTr="00B248B4">
        <w:trPr>
          <w:tblCellSpacing w:w="15" w:type="dxa"/>
        </w:trPr>
        <w:tc>
          <w:tcPr>
            <w:tcW w:w="2486" w:type="pct"/>
            <w:vAlign w:val="center"/>
            <w:hideMark/>
          </w:tcPr>
          <w:p w:rsidR="00B248B4" w:rsidRPr="00B248B4" w:rsidRDefault="00B248B4" w:rsidP="00B248B4">
            <w:r w:rsidRPr="00B248B4">
              <w:t>для диапазона измерений от 0, 200 — 1, 200 мг/л — относительной погрешности</w:t>
            </w:r>
          </w:p>
        </w:tc>
        <w:tc>
          <w:tcPr>
            <w:tcW w:w="2486" w:type="pct"/>
            <w:vAlign w:val="center"/>
            <w:hideMark/>
          </w:tcPr>
          <w:p w:rsidR="00B248B4" w:rsidRPr="00B248B4" w:rsidRDefault="00B248B4" w:rsidP="00B248B4">
            <w:r w:rsidRPr="00B248B4">
              <w:t>±10%;</w:t>
            </w:r>
          </w:p>
        </w:tc>
      </w:tr>
      <w:tr w:rsidR="00B248B4" w:rsidRPr="00B248B4" w:rsidTr="00B248B4">
        <w:trPr>
          <w:tblCellSpacing w:w="15" w:type="dxa"/>
        </w:trPr>
        <w:tc>
          <w:tcPr>
            <w:tcW w:w="0" w:type="auto"/>
            <w:gridSpan w:val="2"/>
            <w:vAlign w:val="center"/>
            <w:hideMark/>
          </w:tcPr>
          <w:p w:rsidR="00B248B4" w:rsidRPr="00B248B4" w:rsidRDefault="00B248B4" w:rsidP="00B248B4">
            <w:pPr>
              <w:jc w:val="center"/>
              <w:rPr>
                <w:b/>
                <w:bCs/>
              </w:rPr>
            </w:pPr>
            <w:r w:rsidRPr="00B248B4">
              <w:rPr>
                <w:b/>
                <w:bCs/>
              </w:rPr>
              <w:t>Электрическое питание</w:t>
            </w:r>
          </w:p>
        </w:tc>
      </w:tr>
      <w:tr w:rsidR="00B248B4" w:rsidRPr="00B248B4" w:rsidTr="00B248B4">
        <w:trPr>
          <w:tblCellSpacing w:w="15" w:type="dxa"/>
        </w:trPr>
        <w:tc>
          <w:tcPr>
            <w:tcW w:w="2486" w:type="pct"/>
            <w:vAlign w:val="center"/>
            <w:hideMark/>
          </w:tcPr>
          <w:p w:rsidR="00B248B4" w:rsidRPr="00B248B4" w:rsidRDefault="00B248B4" w:rsidP="00B248B4">
            <w:r w:rsidRPr="00B248B4">
              <w:t>аккумуляторный Li-ion блок</w:t>
            </w:r>
          </w:p>
        </w:tc>
        <w:tc>
          <w:tcPr>
            <w:tcW w:w="2486" w:type="pct"/>
            <w:vAlign w:val="center"/>
            <w:hideMark/>
          </w:tcPr>
          <w:p w:rsidR="00B248B4" w:rsidRPr="00B248B4" w:rsidRDefault="00B248B4" w:rsidP="00B248B4">
            <w:r w:rsidRPr="00B248B4">
              <w:t>7, 4В / не менее 1800мАч;</w:t>
            </w:r>
          </w:p>
        </w:tc>
      </w:tr>
      <w:tr w:rsidR="00B248B4" w:rsidRPr="00B248B4" w:rsidTr="00B248B4">
        <w:trPr>
          <w:tblCellSpacing w:w="15" w:type="dxa"/>
        </w:trPr>
        <w:tc>
          <w:tcPr>
            <w:tcW w:w="2486" w:type="pct"/>
            <w:vAlign w:val="center"/>
            <w:hideMark/>
          </w:tcPr>
          <w:p w:rsidR="00B248B4" w:rsidRPr="00B248B4" w:rsidRDefault="00B248B4" w:rsidP="00B248B4">
            <w:r w:rsidRPr="00B248B4">
              <w:t>адаптер питания от внешнего источника постоянного тока</w:t>
            </w:r>
          </w:p>
        </w:tc>
        <w:tc>
          <w:tcPr>
            <w:tcW w:w="2486" w:type="pct"/>
            <w:vAlign w:val="center"/>
            <w:hideMark/>
          </w:tcPr>
          <w:p w:rsidR="00B248B4" w:rsidRPr="00B248B4" w:rsidRDefault="00B248B4" w:rsidP="00B248B4">
            <w:r w:rsidRPr="00B248B4">
              <w:t>от 10, 8 до 16, 5В / 2А (бортовая сеть автомобиля);</w:t>
            </w:r>
          </w:p>
        </w:tc>
      </w:tr>
      <w:tr w:rsidR="00B248B4" w:rsidRPr="00B248B4" w:rsidTr="00B248B4">
        <w:trPr>
          <w:tblCellSpacing w:w="15" w:type="dxa"/>
        </w:trPr>
        <w:tc>
          <w:tcPr>
            <w:tcW w:w="2486" w:type="pct"/>
            <w:vAlign w:val="center"/>
            <w:hideMark/>
          </w:tcPr>
          <w:p w:rsidR="00B248B4" w:rsidRPr="00B248B4" w:rsidRDefault="00B248B4" w:rsidP="00B248B4">
            <w:r w:rsidRPr="00B248B4">
              <w:t>адаптер питания от сети переменного тока</w:t>
            </w:r>
          </w:p>
        </w:tc>
        <w:tc>
          <w:tcPr>
            <w:tcW w:w="2486" w:type="pct"/>
            <w:vAlign w:val="center"/>
            <w:hideMark/>
          </w:tcPr>
          <w:p w:rsidR="00B248B4" w:rsidRPr="00B248B4" w:rsidRDefault="00B248B4" w:rsidP="00B248B4">
            <w:r w:rsidRPr="00B248B4">
              <w:t>220В, 50 Гц, 2 А;</w:t>
            </w:r>
          </w:p>
        </w:tc>
      </w:tr>
      <w:tr w:rsidR="00B248B4" w:rsidRPr="00B248B4" w:rsidTr="00B248B4">
        <w:trPr>
          <w:tblCellSpacing w:w="15" w:type="dxa"/>
        </w:trPr>
        <w:tc>
          <w:tcPr>
            <w:tcW w:w="2486" w:type="pct"/>
            <w:vAlign w:val="center"/>
            <w:hideMark/>
          </w:tcPr>
          <w:p w:rsidR="00B248B4" w:rsidRPr="00B248B4" w:rsidRDefault="00B248B4" w:rsidP="00B248B4">
            <w:r w:rsidRPr="00B248B4">
              <w:t>число измерений без подзарядки аккумуляторного блока</w:t>
            </w:r>
          </w:p>
        </w:tc>
        <w:tc>
          <w:tcPr>
            <w:tcW w:w="2486" w:type="pct"/>
            <w:vAlign w:val="center"/>
            <w:hideMark/>
          </w:tcPr>
          <w:p w:rsidR="00B248B4" w:rsidRPr="00B248B4" w:rsidRDefault="00B248B4" w:rsidP="00B248B4">
            <w:r w:rsidRPr="00B248B4">
              <w:t>не менее 500 без распечатки протоколов измерений, не менее 100 при распечатке протоколов измерений;</w:t>
            </w:r>
          </w:p>
        </w:tc>
      </w:tr>
    </w:tbl>
    <w:p w:rsidR="00B248B4" w:rsidRPr="006E44B5" w:rsidRDefault="00B248B4" w:rsidP="003C5512">
      <w:pPr>
        <w:pStyle w:val="a4"/>
        <w:rPr>
          <w:b w:val="0"/>
          <w:sz w:val="22"/>
        </w:rPr>
      </w:pPr>
    </w:p>
    <w:p w:rsidR="005216D6" w:rsidRPr="0027675B" w:rsidRDefault="005216D6" w:rsidP="005216D6">
      <w:pPr>
        <w:ind w:firstLine="708"/>
        <w:jc w:val="both"/>
        <w:rPr>
          <w:color w:val="000000" w:themeColor="text1"/>
        </w:rPr>
      </w:pPr>
      <w:r w:rsidRPr="0027675B">
        <w:rPr>
          <w:bCs/>
          <w:color w:val="000000" w:themeColor="text1"/>
          <w:sz w:val="22"/>
          <w:szCs w:val="22"/>
        </w:rPr>
        <w:t xml:space="preserve">Максимальная </w:t>
      </w:r>
      <w:r w:rsidRPr="00650813">
        <w:rPr>
          <w:bCs/>
          <w:color w:val="000000" w:themeColor="text1"/>
          <w:sz w:val="22"/>
          <w:szCs w:val="22"/>
        </w:rPr>
        <w:t xml:space="preserve">сумма не более </w:t>
      </w:r>
      <w:r w:rsidR="00650813" w:rsidRPr="00650813">
        <w:rPr>
          <w:color w:val="000000" w:themeColor="text1"/>
          <w:sz w:val="22"/>
          <w:szCs w:val="22"/>
        </w:rPr>
        <w:t>70766</w:t>
      </w:r>
      <w:r w:rsidRPr="00650813">
        <w:rPr>
          <w:color w:val="000000" w:themeColor="text1"/>
          <w:sz w:val="22"/>
          <w:szCs w:val="22"/>
        </w:rPr>
        <w:t> </w:t>
      </w:r>
      <w:r w:rsidRPr="00650813">
        <w:rPr>
          <w:color w:val="000000" w:themeColor="text1"/>
        </w:rPr>
        <w:t xml:space="preserve">рублей </w:t>
      </w:r>
      <w:r w:rsidR="00650813" w:rsidRPr="00650813">
        <w:rPr>
          <w:color w:val="000000" w:themeColor="text1"/>
        </w:rPr>
        <w:t>7</w:t>
      </w:r>
      <w:r w:rsidRPr="00650813">
        <w:rPr>
          <w:color w:val="000000" w:themeColor="text1"/>
        </w:rPr>
        <w:t xml:space="preserve">0 копеек, </w:t>
      </w:r>
      <w:r w:rsidRPr="00650813">
        <w:rPr>
          <w:color w:val="000000" w:themeColor="text1"/>
          <w:sz w:val="22"/>
          <w:szCs w:val="22"/>
        </w:rPr>
        <w:t xml:space="preserve"> без  НДС</w:t>
      </w:r>
      <w:r w:rsidRPr="00650813">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Default="005216D6" w:rsidP="005216D6">
      <w:pPr>
        <w:ind w:firstLine="709"/>
        <w:jc w:val="both"/>
        <w:rPr>
          <w:sz w:val="22"/>
          <w:szCs w:val="22"/>
        </w:rPr>
      </w:pPr>
      <w:r w:rsidRPr="004A7484">
        <w:rPr>
          <w:b/>
          <w:bCs/>
          <w:sz w:val="22"/>
          <w:szCs w:val="22"/>
        </w:rPr>
        <w:t>Требования качества</w:t>
      </w:r>
      <w:r w:rsidRPr="004A7484">
        <w:rPr>
          <w:sz w:val="22"/>
          <w:szCs w:val="22"/>
        </w:rPr>
        <w:t xml:space="preserve"> </w:t>
      </w:r>
    </w:p>
    <w:p w:rsidR="005216D6" w:rsidRPr="00962153" w:rsidRDefault="005216D6" w:rsidP="005216D6">
      <w:pPr>
        <w:ind w:firstLine="709"/>
        <w:jc w:val="both"/>
        <w:rPr>
          <w:sz w:val="22"/>
          <w:szCs w:val="22"/>
        </w:rPr>
      </w:pPr>
      <w:r w:rsidRPr="00962153">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216D6" w:rsidRPr="00962153" w:rsidRDefault="005216D6" w:rsidP="005216D6">
      <w:pPr>
        <w:jc w:val="both"/>
        <w:rPr>
          <w:sz w:val="22"/>
          <w:szCs w:val="22"/>
        </w:rPr>
      </w:pPr>
      <w:r w:rsidRPr="00962153">
        <w:rPr>
          <w:sz w:val="22"/>
          <w:szCs w:val="22"/>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5216D6" w:rsidRPr="00962153" w:rsidRDefault="005216D6" w:rsidP="005216D6">
      <w:pPr>
        <w:jc w:val="both"/>
        <w:rPr>
          <w:sz w:val="22"/>
          <w:szCs w:val="22"/>
        </w:rPr>
      </w:pPr>
      <w:r w:rsidRPr="00962153">
        <w:rPr>
          <w:sz w:val="22"/>
          <w:szCs w:val="22"/>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216D6" w:rsidRPr="00962153" w:rsidRDefault="005216D6" w:rsidP="005216D6">
      <w:pPr>
        <w:ind w:firstLine="709"/>
        <w:jc w:val="both"/>
        <w:rPr>
          <w:sz w:val="22"/>
          <w:szCs w:val="22"/>
        </w:rPr>
      </w:pPr>
      <w:r w:rsidRPr="00962153">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5216D6" w:rsidRPr="00962153" w:rsidRDefault="005216D6" w:rsidP="005216D6">
      <w:pPr>
        <w:ind w:firstLine="709"/>
        <w:jc w:val="both"/>
        <w:rPr>
          <w:sz w:val="22"/>
          <w:szCs w:val="22"/>
        </w:rPr>
      </w:pPr>
      <w:r w:rsidRPr="00962153">
        <w:rPr>
          <w:sz w:val="22"/>
          <w:szCs w:val="22"/>
        </w:rPr>
        <w:lastRenderedPageBreak/>
        <w:t xml:space="preserve">3) По количеству и качеству Товар должен полностью соответствовать котировочной документации. </w:t>
      </w:r>
    </w:p>
    <w:p w:rsidR="005216D6" w:rsidRPr="00962153" w:rsidRDefault="005216D6" w:rsidP="005216D6">
      <w:r w:rsidRPr="00962153">
        <w:rPr>
          <w:sz w:val="22"/>
          <w:szCs w:val="22"/>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962153" w:rsidRDefault="005216D6" w:rsidP="00962153">
      <w:pPr>
        <w:rPr>
          <w:sz w:val="22"/>
          <w:szCs w:val="22"/>
        </w:rPr>
      </w:pPr>
      <w:r w:rsidRPr="00962153">
        <w:rPr>
          <w:b/>
          <w:bCs/>
          <w:sz w:val="22"/>
          <w:szCs w:val="22"/>
        </w:rPr>
        <w:t xml:space="preserve">  </w:t>
      </w:r>
      <w:r w:rsidRPr="00962153">
        <w:rPr>
          <w:b/>
        </w:rPr>
        <w:t>Сроки поставки товара</w:t>
      </w:r>
      <w:r w:rsidRPr="00962153">
        <w:rPr>
          <w:sz w:val="28"/>
          <w:szCs w:val="28"/>
        </w:rPr>
        <w:t xml:space="preserve">: </w:t>
      </w:r>
      <w:r w:rsidRPr="00962153">
        <w:rPr>
          <w:sz w:val="22"/>
          <w:szCs w:val="22"/>
        </w:rPr>
        <w:t>с момента заключения договора  в течение 30 дней.</w:t>
      </w:r>
    </w:p>
    <w:p w:rsidR="005216D6" w:rsidRPr="00962153" w:rsidRDefault="005216D6" w:rsidP="005216D6">
      <w:pPr>
        <w:pStyle w:val="afe"/>
        <w:numPr>
          <w:ilvl w:val="0"/>
          <w:numId w:val="10"/>
        </w:numPr>
        <w:ind w:left="426"/>
        <w:jc w:val="both"/>
        <w:rPr>
          <w:spacing w:val="-9"/>
          <w:sz w:val="22"/>
          <w:szCs w:val="22"/>
        </w:rPr>
      </w:pPr>
      <w:r w:rsidRPr="00962153">
        <w:rPr>
          <w:b/>
          <w:bCs/>
          <w:sz w:val="22"/>
          <w:szCs w:val="22"/>
        </w:rPr>
        <w:t xml:space="preserve">Место </w:t>
      </w:r>
      <w:r w:rsidRPr="00962153">
        <w:rPr>
          <w:b/>
        </w:rPr>
        <w:t>поставки товара</w:t>
      </w:r>
      <w:r w:rsidRPr="00962153">
        <w:rPr>
          <w:b/>
          <w:bCs/>
          <w:sz w:val="22"/>
          <w:szCs w:val="22"/>
        </w:rPr>
        <w:t xml:space="preserve">: </w:t>
      </w:r>
      <w:r w:rsidRPr="00962153">
        <w:t xml:space="preserve">Услуга поставляется согласно настоящему Техническому заданию по адресу Заказчика – г. Стерлитамак, ул. Нагуманова, 54 </w:t>
      </w:r>
    </w:p>
    <w:p w:rsidR="005216D6" w:rsidRPr="00962153" w:rsidRDefault="005216D6" w:rsidP="005216D6">
      <w:pPr>
        <w:pStyle w:val="afe"/>
        <w:numPr>
          <w:ilvl w:val="0"/>
          <w:numId w:val="10"/>
        </w:numPr>
        <w:ind w:left="426"/>
        <w:jc w:val="both"/>
        <w:rPr>
          <w:spacing w:val="-9"/>
          <w:sz w:val="22"/>
          <w:szCs w:val="22"/>
        </w:rPr>
      </w:pPr>
      <w:r w:rsidRPr="00962153">
        <w:rPr>
          <w:b/>
          <w:bCs/>
          <w:sz w:val="22"/>
          <w:szCs w:val="22"/>
        </w:rPr>
        <w:t>Стоимость товара должна включать:</w:t>
      </w:r>
      <w:r w:rsidRPr="0096215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962153" w:rsidRDefault="005216D6" w:rsidP="005216D6">
      <w:pPr>
        <w:pStyle w:val="afe"/>
        <w:widowControl w:val="0"/>
        <w:numPr>
          <w:ilvl w:val="0"/>
          <w:numId w:val="10"/>
        </w:numPr>
        <w:autoSpaceDE w:val="0"/>
        <w:autoSpaceDN w:val="0"/>
        <w:adjustRightInd w:val="0"/>
        <w:rPr>
          <w:bCs/>
          <w:sz w:val="22"/>
          <w:szCs w:val="22"/>
        </w:rPr>
      </w:pPr>
      <w:r w:rsidRPr="00962153">
        <w:rPr>
          <w:b/>
          <w:bCs/>
          <w:sz w:val="22"/>
          <w:szCs w:val="22"/>
        </w:rPr>
        <w:t xml:space="preserve">Срок и условия оплаты: </w:t>
      </w:r>
      <w:r w:rsidRPr="00962153">
        <w:rPr>
          <w:sz w:val="22"/>
          <w:szCs w:val="22"/>
        </w:rPr>
        <w:t xml:space="preserve">безналичный расчет. Оплата производится в течении </w:t>
      </w:r>
      <w:r w:rsidR="00962153" w:rsidRPr="00962153">
        <w:rPr>
          <w:sz w:val="22"/>
          <w:szCs w:val="22"/>
        </w:rPr>
        <w:t xml:space="preserve">30 </w:t>
      </w:r>
      <w:r w:rsidRPr="00962153">
        <w:rPr>
          <w:sz w:val="22"/>
          <w:szCs w:val="22"/>
        </w:rPr>
        <w:t xml:space="preserve"> календарных дней с даты </w:t>
      </w:r>
      <w:r w:rsidR="00962153" w:rsidRPr="00962153">
        <w:rPr>
          <w:sz w:val="22"/>
          <w:szCs w:val="22"/>
        </w:rPr>
        <w:t>поставки товара</w:t>
      </w:r>
      <w:r w:rsidRPr="00962153">
        <w:rPr>
          <w:sz w:val="22"/>
          <w:szCs w:val="22"/>
        </w:rPr>
        <w:t xml:space="preserve">. </w:t>
      </w:r>
    </w:p>
    <w:p w:rsidR="005216D6" w:rsidRPr="00962153" w:rsidRDefault="005216D6" w:rsidP="005216D6">
      <w:pPr>
        <w:pStyle w:val="afe"/>
        <w:numPr>
          <w:ilvl w:val="0"/>
          <w:numId w:val="10"/>
        </w:numPr>
        <w:ind w:left="426"/>
        <w:jc w:val="both"/>
        <w:rPr>
          <w:bCs/>
          <w:sz w:val="22"/>
          <w:szCs w:val="22"/>
          <w:u w:val="single"/>
        </w:rPr>
      </w:pPr>
      <w:r w:rsidRPr="00962153">
        <w:rPr>
          <w:bCs/>
          <w:sz w:val="22"/>
          <w:szCs w:val="22"/>
          <w:u w:val="single"/>
        </w:rPr>
        <w:t>С котировочной заявкой необходимо обязательно предоставить все копии учредительных документов.</w:t>
      </w:r>
    </w:p>
    <w:p w:rsidR="00962153" w:rsidRPr="00650813" w:rsidRDefault="005216D6" w:rsidP="00962153">
      <w:pPr>
        <w:pStyle w:val="afe"/>
        <w:numPr>
          <w:ilvl w:val="0"/>
          <w:numId w:val="10"/>
        </w:numPr>
        <w:ind w:left="426"/>
        <w:jc w:val="both"/>
        <w:rPr>
          <w:bCs/>
          <w:sz w:val="22"/>
          <w:szCs w:val="22"/>
        </w:rPr>
      </w:pPr>
      <w:r w:rsidRPr="00962153">
        <w:rPr>
          <w:b/>
          <w:bCs/>
          <w:sz w:val="22"/>
          <w:szCs w:val="22"/>
        </w:rPr>
        <w:t xml:space="preserve">Источник финансирования:  </w:t>
      </w:r>
      <w:r w:rsidRPr="00962153">
        <w:rPr>
          <w:bCs/>
          <w:sz w:val="22"/>
          <w:szCs w:val="22"/>
        </w:rPr>
        <w:t>доходы, полученные от предпринимательской деятельности.</w:t>
      </w:r>
    </w:p>
    <w:p w:rsidR="00962153" w:rsidRPr="00962153" w:rsidRDefault="00962153" w:rsidP="00962153">
      <w:pPr>
        <w:jc w:val="both"/>
        <w:rPr>
          <w:bCs/>
          <w:sz w:val="22"/>
          <w:szCs w:val="22"/>
        </w:rPr>
      </w:pP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НУЗ «Узловая больница на ст. Стерлитамак ОАО «РЖД» – </w:t>
      </w:r>
      <w:r w:rsidRPr="000C3B9F">
        <w:rPr>
          <w:b/>
          <w:bCs/>
          <w:sz w:val="22"/>
          <w:szCs w:val="22"/>
        </w:rPr>
        <w:t xml:space="preserve">:  </w:t>
      </w:r>
      <w:r w:rsidRPr="000C3B9F">
        <w:rPr>
          <w:bCs/>
        </w:rPr>
        <w:t>443115, г. Стерлитамак, ул. Нагуманова,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650813">
        <w:rPr>
          <w:b/>
          <w:bCs/>
          <w:sz w:val="24"/>
          <w:szCs w:val="24"/>
        </w:rPr>
        <w:t>02</w:t>
      </w:r>
      <w:r w:rsidRPr="006310AD">
        <w:rPr>
          <w:b/>
          <w:bCs/>
          <w:sz w:val="24"/>
          <w:szCs w:val="24"/>
        </w:rPr>
        <w:t xml:space="preserve">. </w:t>
      </w:r>
      <w:r>
        <w:rPr>
          <w:b/>
          <w:bCs/>
          <w:sz w:val="24"/>
          <w:szCs w:val="24"/>
        </w:rPr>
        <w:t>1</w:t>
      </w:r>
      <w:r w:rsidR="00650813">
        <w:rPr>
          <w:b/>
          <w:bCs/>
          <w:sz w:val="24"/>
          <w:szCs w:val="24"/>
        </w:rPr>
        <w:t>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2"/>
          <w:szCs w:val="22"/>
        </w:rPr>
        <w:t xml:space="preserve"> </w:t>
      </w:r>
      <w:r w:rsidR="00650813">
        <w:rPr>
          <w:b/>
          <w:bCs/>
          <w:sz w:val="24"/>
          <w:szCs w:val="24"/>
        </w:rPr>
        <w:t>09</w:t>
      </w:r>
      <w:r w:rsidRPr="006310AD">
        <w:rPr>
          <w:b/>
          <w:bCs/>
          <w:sz w:val="24"/>
          <w:szCs w:val="24"/>
        </w:rPr>
        <w:t xml:space="preserve">. </w:t>
      </w:r>
      <w:r>
        <w:rPr>
          <w:b/>
          <w:bCs/>
          <w:sz w:val="24"/>
          <w:szCs w:val="24"/>
        </w:rPr>
        <w:t>1</w:t>
      </w:r>
      <w:r w:rsidR="00650813">
        <w:rPr>
          <w:b/>
          <w:bCs/>
          <w:sz w:val="24"/>
          <w:szCs w:val="24"/>
        </w:rPr>
        <w:t>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650813">
        <w:rPr>
          <w:b/>
          <w:bCs/>
          <w:sz w:val="24"/>
          <w:szCs w:val="24"/>
        </w:rPr>
        <w:t>09</w:t>
      </w:r>
      <w:r w:rsidRPr="006310AD">
        <w:rPr>
          <w:b/>
          <w:bCs/>
          <w:sz w:val="24"/>
          <w:szCs w:val="24"/>
        </w:rPr>
        <w:t xml:space="preserve">. </w:t>
      </w:r>
      <w:r>
        <w:rPr>
          <w:b/>
          <w:bCs/>
          <w:sz w:val="24"/>
          <w:szCs w:val="24"/>
        </w:rPr>
        <w:t>1</w:t>
      </w:r>
      <w:r w:rsidR="00650813">
        <w:rPr>
          <w:b/>
          <w:bCs/>
          <w:sz w:val="24"/>
          <w:szCs w:val="24"/>
        </w:rPr>
        <w:t>2</w:t>
      </w:r>
      <w:bookmarkStart w:id="0" w:name="_GoBack"/>
      <w:bookmarkEnd w:id="0"/>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участника_Котировка№.rar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сканиерование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w:t>
      </w:r>
      <w:r w:rsidRPr="004A7484">
        <w:rPr>
          <w:bCs/>
          <w:sz w:val="22"/>
          <w:szCs w:val="22"/>
        </w:rPr>
        <w:lastRenderedPageBreak/>
        <w:t>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5216D6" w:rsidRDefault="005216D6" w:rsidP="005216D6">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r w:rsidRPr="004A7484">
        <w:rPr>
          <w:sz w:val="22"/>
          <w:szCs w:val="22"/>
        </w:rPr>
        <w:t xml:space="preserve"> </w:t>
      </w:r>
    </w:p>
    <w:p w:rsidR="005216D6" w:rsidRDefault="005216D6" w:rsidP="005216D6">
      <w:pPr>
        <w:pStyle w:val="afe"/>
        <w:numPr>
          <w:ilvl w:val="1"/>
          <w:numId w:val="10"/>
        </w:numPr>
        <w:jc w:val="both"/>
        <w:rPr>
          <w:sz w:val="22"/>
          <w:szCs w:val="22"/>
        </w:rPr>
      </w:pPr>
      <w:r w:rsidRPr="000F048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5216D6" w:rsidRDefault="005216D6" w:rsidP="005216D6">
      <w:pPr>
        <w:pStyle w:val="afe"/>
        <w:numPr>
          <w:ilvl w:val="1"/>
          <w:numId w:val="10"/>
        </w:numPr>
        <w:jc w:val="both"/>
        <w:rPr>
          <w:sz w:val="22"/>
          <w:szCs w:val="22"/>
        </w:rPr>
      </w:pPr>
      <w:r w:rsidRPr="000F0480">
        <w:rPr>
          <w:sz w:val="22"/>
          <w:szCs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lastRenderedPageBreak/>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lastRenderedPageBreak/>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 xml:space="preserve">17.4 </w:t>
      </w: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 xml:space="preserve">17.5 </w:t>
      </w: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 xml:space="preserve">17.7 </w:t>
      </w:r>
      <w:r w:rsidRPr="004A7484">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 xml:space="preserve">18.2 </w:t>
      </w:r>
      <w:r w:rsidRPr="004A7484">
        <w:rPr>
          <w:sz w:val="22"/>
          <w:szCs w:val="22"/>
        </w:rPr>
        <w:t>В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Протокол комиссии размещается на сайтах не позднее 2 (двух) дней с даты подписания протокола.</w:t>
      </w:r>
    </w:p>
    <w:p w:rsidR="005216D6" w:rsidRPr="004A7484" w:rsidRDefault="005216D6" w:rsidP="005216D6">
      <w:pPr>
        <w:pStyle w:val="a3"/>
        <w:spacing w:before="0"/>
        <w:ind w:left="480"/>
        <w:jc w:val="both"/>
        <w:rPr>
          <w:sz w:val="22"/>
          <w:szCs w:val="22"/>
        </w:rPr>
      </w:pPr>
      <w:r>
        <w:rPr>
          <w:sz w:val="22"/>
          <w:szCs w:val="22"/>
        </w:rPr>
        <w:t xml:space="preserve">18.6 </w:t>
      </w: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 xml:space="preserve">18.7 </w:t>
      </w:r>
      <w:r w:rsidRPr="004A7484">
        <w:rPr>
          <w:sz w:val="22"/>
          <w:szCs w:val="22"/>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w:t>
      </w:r>
      <w:r w:rsidRPr="004A7484">
        <w:rPr>
          <w:sz w:val="22"/>
          <w:szCs w:val="22"/>
        </w:rPr>
        <w:lastRenderedPageBreak/>
        <w:t>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5216D6" w:rsidRPr="004A7484" w:rsidRDefault="005216D6" w:rsidP="005216D6">
      <w:pPr>
        <w:pStyle w:val="a3"/>
        <w:spacing w:before="0"/>
        <w:jc w:val="both"/>
        <w:rPr>
          <w:sz w:val="22"/>
          <w:szCs w:val="22"/>
        </w:rPr>
      </w:pPr>
      <w:r>
        <w:rPr>
          <w:sz w:val="22"/>
          <w:szCs w:val="22"/>
        </w:rPr>
        <w:t xml:space="preserve">19.2 </w:t>
      </w: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 xml:space="preserve">19.3 </w:t>
      </w: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 xml:space="preserve">20.4 </w:t>
      </w: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 xml:space="preserve">20.5 </w:t>
      </w: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 xml:space="preserve">20.6 </w:t>
      </w: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w:t>
      </w:r>
      <w:r w:rsidRPr="004A7484">
        <w:rPr>
          <w:sz w:val="22"/>
          <w:szCs w:val="22"/>
        </w:rPr>
        <w:lastRenderedPageBreak/>
        <w:t>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 xml:space="preserve">20.10 </w:t>
      </w: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информационная справка, содержащая сведения о владельцах контрагента, включая конечных бенефициаров, с приложением подтверждающих </w:t>
      </w:r>
      <w:r w:rsidRPr="004A7484">
        <w:rPr>
          <w:sz w:val="22"/>
          <w:szCs w:val="22"/>
        </w:rPr>
        <w:lastRenderedPageBreak/>
        <w:t>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FF5BEC">
        <w:rPr>
          <w:sz w:val="22"/>
          <w:szCs w:val="22"/>
        </w:rPr>
        <w:t xml:space="preserve"> </w:t>
      </w: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r w:rsidRPr="004D10CF">
        <w:rPr>
          <w:sz w:val="22"/>
          <w:szCs w:val="22"/>
        </w:rPr>
        <w:t xml:space="preserve">неприостановление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lastRenderedPageBreak/>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 xml:space="preserve">25.4 </w:t>
      </w: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Pr>
          <w:sz w:val="22"/>
          <w:szCs w:val="22"/>
        </w:rPr>
        <w:t>Ю.В.Саидгалина</w:t>
      </w:r>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622295" w:rsidRDefault="00622295" w:rsidP="002B08C7">
      <w:pPr>
        <w:jc w:val="right"/>
        <w:rPr>
          <w:b/>
          <w:bCs/>
        </w:rPr>
      </w:pPr>
      <w:r>
        <w:rPr>
          <w:b/>
          <w:bCs/>
        </w:rPr>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C01ABA">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27675B" w:rsidRDefault="00FE412D" w:rsidP="00FE412D">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r w:rsidRPr="00800469">
        <w:rPr>
          <w:sz w:val="22"/>
          <w:szCs w:val="22"/>
          <w:lang w:val="en-US"/>
        </w:rPr>
        <w:t>ubstr</w:t>
      </w:r>
      <w:r w:rsidRPr="0027675B">
        <w:rPr>
          <w:sz w:val="22"/>
          <w:szCs w:val="22"/>
        </w:rPr>
        <w:t>1@</w:t>
      </w:r>
      <w:r>
        <w:rPr>
          <w:sz w:val="22"/>
          <w:szCs w:val="22"/>
          <w:lang w:val="en-US"/>
        </w:rPr>
        <w:t>mail</w:t>
      </w:r>
      <w:r w:rsidRPr="0027675B">
        <w:rPr>
          <w:sz w:val="22"/>
          <w:szCs w:val="22"/>
        </w:rPr>
        <w:t>.</w:t>
      </w:r>
      <w:r>
        <w:rPr>
          <w:sz w:val="22"/>
          <w:szCs w:val="22"/>
          <w:lang w:val="en-US"/>
        </w:rPr>
        <w:t>ru</w:t>
      </w:r>
      <w:r w:rsidRPr="0027675B">
        <w:rPr>
          <w:sz w:val="22"/>
          <w:szCs w:val="22"/>
        </w:rPr>
        <w:t xml:space="preserve"> </w:t>
      </w:r>
    </w:p>
    <w:p w:rsidR="00FE412D" w:rsidRPr="00962153" w:rsidRDefault="00FE412D" w:rsidP="00FE412D">
      <w:pPr>
        <w:ind w:firstLine="900"/>
        <w:rPr>
          <w:snapToGrid w:val="0"/>
          <w:color w:val="000000"/>
          <w:sz w:val="22"/>
          <w:szCs w:val="22"/>
        </w:rPr>
      </w:pPr>
      <w:r w:rsidRPr="004A7484">
        <w:rPr>
          <w:snapToGrid w:val="0"/>
          <w:color w:val="000000"/>
          <w:sz w:val="22"/>
          <w:szCs w:val="22"/>
        </w:rPr>
        <w:t>Тел</w:t>
      </w:r>
      <w:r w:rsidRPr="00962153">
        <w:rPr>
          <w:snapToGrid w:val="0"/>
          <w:color w:val="000000"/>
          <w:sz w:val="22"/>
          <w:szCs w:val="22"/>
        </w:rPr>
        <w:t>: 8(3473)21-26-52</w:t>
      </w:r>
    </w:p>
    <w:p w:rsidR="00FE412D" w:rsidRPr="00962153" w:rsidRDefault="00FE412D" w:rsidP="00FE412D">
      <w:pPr>
        <w:rPr>
          <w:sz w:val="22"/>
          <w:szCs w:val="22"/>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lastRenderedPageBreak/>
        <w:t>Место доставки:</w:t>
      </w:r>
      <w:r w:rsidRPr="003D08ED">
        <w:rPr>
          <w:sz w:val="22"/>
          <w:szCs w:val="22"/>
        </w:rPr>
        <w:t xml:space="preserve"> </w:t>
      </w:r>
      <w:r>
        <w:rPr>
          <w:sz w:val="22"/>
          <w:szCs w:val="22"/>
        </w:rPr>
        <w:t>453115, РБ, г. Стерлитамак, ул. Нагуманова,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r>
        <w:rPr>
          <w:sz w:val="22"/>
          <w:szCs w:val="22"/>
        </w:rPr>
        <w:t xml:space="preserve">- </w:t>
      </w: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4D10CF">
        <w:rPr>
          <w:sz w:val="22"/>
          <w:szCs w:val="22"/>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Вариант1:</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 ,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Вариант1:</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Вариант1:</w:t>
      </w:r>
      <w:r w:rsidRPr="004A7484">
        <w:rPr>
          <w:u w:val="single"/>
        </w:rPr>
        <w:t xml:space="preserve"> </w:t>
      </w:r>
      <w:r w:rsidRPr="004A7484">
        <w:rPr>
          <w:i/>
        </w:rPr>
        <w:t xml:space="preserve"> с ___ч. до____ч.</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 __ (__) 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возврата всех уплаченные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   )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xml:space="preserve">- электронная почта: </w:t>
      </w:r>
      <w:r w:rsidRPr="004A7484">
        <w:t>_______</w:t>
      </w:r>
      <w:r w:rsidRPr="004A7484">
        <w:rPr>
          <w:shd w:val="clear" w:color="auto" w:fill="FFFFFF"/>
        </w:rPr>
        <w:t>;</w:t>
      </w:r>
    </w:p>
    <w:p w:rsidR="00C01ABA" w:rsidRPr="004A7484" w:rsidRDefault="00C01ABA" w:rsidP="00C01ABA">
      <w:pPr>
        <w:pStyle w:val="Standard"/>
        <w:spacing w:line="276" w:lineRule="auto"/>
        <w:ind w:firstLine="709"/>
        <w:jc w:val="both"/>
      </w:pPr>
      <w:r w:rsidRPr="004A7484">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-зарегистрирован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Покупатель:</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Поставщик:</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п/п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r w:rsidRPr="004A7484">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 xml:space="preserve">Итого по Спецификации - </w:t>
      </w:r>
      <w:r>
        <w:rPr>
          <w:bCs/>
        </w:rPr>
        <w:t xml:space="preserve"> </w:t>
      </w:r>
      <w:r w:rsidRPr="004A7484">
        <w:rPr>
          <w:rStyle w:val="40"/>
        </w:rPr>
        <w:t>______  (___________) 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r>
        <w:t xml:space="preserve"> </w:t>
      </w:r>
      <w:r w:rsidRPr="004A7484">
        <w:t xml:space="preserve"> </w:t>
      </w:r>
      <w:r w:rsidRPr="004A7484">
        <w:rPr>
          <w:b/>
        </w:rPr>
        <w:t xml:space="preserve">_____________ </w:t>
      </w:r>
      <w:r w:rsidRPr="004A7484">
        <w:rPr>
          <w:b/>
          <w:bCs/>
        </w:rPr>
        <w:t>(______________) 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п/п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т.ч.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46" w:rsidRDefault="00B02F46">
      <w:r>
        <w:separator/>
      </w:r>
    </w:p>
  </w:endnote>
  <w:endnote w:type="continuationSeparator" w:id="0">
    <w:p w:rsidR="00B02F46" w:rsidRDefault="00B0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66" w:rsidRDefault="00371B6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1B66" w:rsidRDefault="00371B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66" w:rsidRDefault="00371B6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50813">
      <w:rPr>
        <w:rStyle w:val="aa"/>
        <w:noProof/>
      </w:rPr>
      <w:t>6</w:t>
    </w:r>
    <w:r>
      <w:rPr>
        <w:rStyle w:val="aa"/>
      </w:rPr>
      <w:fldChar w:fldCharType="end"/>
    </w:r>
  </w:p>
  <w:p w:rsidR="00371B66" w:rsidRDefault="00371B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46" w:rsidRDefault="00B02F46">
      <w:r>
        <w:separator/>
      </w:r>
    </w:p>
  </w:footnote>
  <w:footnote w:type="continuationSeparator" w:id="0">
    <w:p w:rsidR="00B02F46" w:rsidRDefault="00B0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9581D"/>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1B66"/>
    <w:rsid w:val="00372F59"/>
    <w:rsid w:val="00381530"/>
    <w:rsid w:val="00383883"/>
    <w:rsid w:val="0038757F"/>
    <w:rsid w:val="003902E8"/>
    <w:rsid w:val="00394CA9"/>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216D6"/>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50813"/>
    <w:rsid w:val="00661EAD"/>
    <w:rsid w:val="00674FB7"/>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2153"/>
    <w:rsid w:val="00966435"/>
    <w:rsid w:val="009725CE"/>
    <w:rsid w:val="00983B19"/>
    <w:rsid w:val="009874EF"/>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2F46"/>
    <w:rsid w:val="00B06895"/>
    <w:rsid w:val="00B077C7"/>
    <w:rsid w:val="00B248B4"/>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47645024">
      <w:bodyDiv w:val="1"/>
      <w:marLeft w:val="0"/>
      <w:marRight w:val="0"/>
      <w:marTop w:val="0"/>
      <w:marBottom w:val="0"/>
      <w:divBdr>
        <w:top w:val="none" w:sz="0" w:space="0" w:color="auto"/>
        <w:left w:val="none" w:sz="0" w:space="0" w:color="auto"/>
        <w:bottom w:val="none" w:sz="0" w:space="0" w:color="auto"/>
        <w:right w:val="none" w:sz="0" w:space="0" w:color="auto"/>
      </w:divBdr>
      <w:divsChild>
        <w:div w:id="1600330862">
          <w:marLeft w:val="0"/>
          <w:marRight w:val="0"/>
          <w:marTop w:val="0"/>
          <w:marBottom w:val="0"/>
          <w:divBdr>
            <w:top w:val="none" w:sz="0" w:space="0" w:color="auto"/>
            <w:left w:val="none" w:sz="0" w:space="0" w:color="auto"/>
            <w:bottom w:val="none" w:sz="0" w:space="0" w:color="auto"/>
            <w:right w:val="none" w:sz="0" w:space="0" w:color="auto"/>
          </w:divBdr>
        </w:div>
        <w:div w:id="87223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C3E9-919B-4F08-9252-5F8FDC76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11940</Words>
  <Characters>68059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2019-12-02T11:15:00Z</dcterms:created>
  <dcterms:modified xsi:type="dcterms:W3CDTF">2019-12-02T11:15:00Z</dcterms:modified>
</cp:coreProperties>
</file>