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84401A">
        <w:rPr>
          <w:sz w:val="22"/>
          <w:szCs w:val="22"/>
        </w:rPr>
        <w:t>30</w:t>
      </w:r>
      <w:r w:rsidRPr="003C5512">
        <w:rPr>
          <w:sz w:val="22"/>
          <w:szCs w:val="22"/>
        </w:rPr>
        <w:t xml:space="preserve"> </w:t>
      </w:r>
      <w:r w:rsidR="00035165" w:rsidRPr="003C5512">
        <w:rPr>
          <w:sz w:val="22"/>
          <w:szCs w:val="22"/>
        </w:rPr>
        <w:t xml:space="preserve"> </w:t>
      </w:r>
      <w:r w:rsidR="007F67BF" w:rsidRPr="00CB483A">
        <w:rPr>
          <w:sz w:val="22"/>
          <w:szCs w:val="22"/>
        </w:rPr>
        <w:t xml:space="preserve">на </w:t>
      </w:r>
      <w:r w:rsidR="00F24F04" w:rsidRPr="00CB483A">
        <w:rPr>
          <w:sz w:val="22"/>
          <w:szCs w:val="22"/>
        </w:rPr>
        <w:t xml:space="preserve">поставку </w:t>
      </w:r>
      <w:r w:rsidR="0084401A" w:rsidRPr="00240968">
        <w:rPr>
          <w:rFonts w:eastAsia="Calibri"/>
          <w:color w:val="000000" w:themeColor="text1"/>
        </w:rPr>
        <w:t>набора  пробных очковых линз</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84401A">
        <w:rPr>
          <w:bCs/>
        </w:rPr>
        <w:t xml:space="preserve">старшая </w:t>
      </w:r>
      <w:proofErr w:type="spellStart"/>
      <w:r w:rsidR="0084401A">
        <w:rPr>
          <w:bCs/>
        </w:rPr>
        <w:t>мед</w:t>
      </w:r>
      <w:proofErr w:type="gramStart"/>
      <w:r w:rsidR="0084401A">
        <w:rPr>
          <w:bCs/>
        </w:rPr>
        <w:t>.с</w:t>
      </w:r>
      <w:proofErr w:type="gramEnd"/>
      <w:r w:rsidR="0084401A">
        <w:rPr>
          <w:bCs/>
        </w:rPr>
        <w:t>естра</w:t>
      </w:r>
      <w:proofErr w:type="spellEnd"/>
      <w:r w:rsidR="0084401A">
        <w:rPr>
          <w:bCs/>
        </w:rPr>
        <w:t xml:space="preserve"> Кривошеева Л.В.</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C5512" w:rsidRPr="004A7484" w:rsidRDefault="00E53932" w:rsidP="0084401A">
      <w:pPr>
        <w:ind w:firstLine="709"/>
        <w:contextualSpacing/>
        <w:rPr>
          <w:sz w:val="22"/>
          <w:szCs w:val="22"/>
        </w:rPr>
      </w:pPr>
      <w:r w:rsidRPr="004A7484">
        <w:rPr>
          <w:sz w:val="22"/>
          <w:szCs w:val="22"/>
        </w:rPr>
        <w:t xml:space="preserve">Предмет запроса котировок: </w:t>
      </w:r>
      <w:r w:rsidR="00CB483A" w:rsidRPr="00CB483A">
        <w:rPr>
          <w:sz w:val="22"/>
          <w:szCs w:val="22"/>
        </w:rPr>
        <w:t xml:space="preserve">на поставку </w:t>
      </w:r>
      <w:r w:rsidR="0084401A" w:rsidRPr="00240968">
        <w:rPr>
          <w:rFonts w:eastAsia="Calibri"/>
          <w:color w:val="000000" w:themeColor="text1"/>
        </w:rPr>
        <w:t>набора  пробных очковых линз</w:t>
      </w: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tbl>
      <w:tblPr>
        <w:tblpPr w:leftFromText="180" w:rightFromText="180" w:vertAnchor="text" w:horzAnchor="margin" w:tblpXSpec="center" w:tblpY="38"/>
        <w:tblW w:w="15387" w:type="dxa"/>
        <w:tblCellSpacing w:w="0" w:type="dxa"/>
        <w:tblBorders>
          <w:top w:val="outset" w:sz="6" w:space="0" w:color="A9A9A9"/>
          <w:left w:val="outset" w:sz="6" w:space="0" w:color="A9A9A9"/>
          <w:bottom w:val="outset" w:sz="6" w:space="0" w:color="A9A9A9"/>
          <w:right w:val="outset" w:sz="6" w:space="0" w:color="A9A9A9"/>
        </w:tblBorders>
        <w:shd w:val="clear" w:color="auto" w:fill="FFFFFF"/>
        <w:tblCellMar>
          <w:left w:w="0" w:type="dxa"/>
          <w:right w:w="0" w:type="dxa"/>
        </w:tblCellMar>
        <w:tblLook w:val="04A0" w:firstRow="1" w:lastRow="0" w:firstColumn="1" w:lastColumn="0" w:noHBand="0" w:noVBand="1"/>
      </w:tblPr>
      <w:tblGrid>
        <w:gridCol w:w="12617"/>
        <w:gridCol w:w="2770"/>
      </w:tblGrid>
      <w:tr w:rsidR="0084401A" w:rsidRPr="00EE5B10" w:rsidTr="0084401A">
        <w:trPr>
          <w:trHeight w:val="678"/>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tcPr>
          <w:p w:rsidR="0084401A" w:rsidRPr="003E2660" w:rsidRDefault="0084401A" w:rsidP="0084401A">
            <w:pPr>
              <w:jc w:val="center"/>
              <w:rPr>
                <w:sz w:val="28"/>
                <w:szCs w:val="28"/>
              </w:rPr>
            </w:pPr>
            <w:r>
              <w:rPr>
                <w:sz w:val="28"/>
                <w:szCs w:val="28"/>
              </w:rPr>
              <w:t>Наименование</w:t>
            </w:r>
          </w:p>
        </w:tc>
        <w:tc>
          <w:tcPr>
            <w:tcW w:w="2770" w:type="dxa"/>
            <w:tcBorders>
              <w:top w:val="outset" w:sz="6" w:space="0" w:color="A9A9A9"/>
              <w:left w:val="outset" w:sz="6" w:space="0" w:color="A9A9A9"/>
              <w:bottom w:val="outset" w:sz="6" w:space="0" w:color="A9A9A9"/>
              <w:right w:val="outset" w:sz="6" w:space="0" w:color="A9A9A9"/>
            </w:tcBorders>
            <w:shd w:val="clear" w:color="auto" w:fill="FFFFFF"/>
          </w:tcPr>
          <w:p w:rsidR="0084401A" w:rsidRPr="003E2660" w:rsidRDefault="0084401A" w:rsidP="0084401A">
            <w:pPr>
              <w:jc w:val="center"/>
              <w:rPr>
                <w:sz w:val="28"/>
                <w:szCs w:val="28"/>
              </w:rPr>
            </w:pPr>
            <w:r>
              <w:rPr>
                <w:sz w:val="28"/>
                <w:szCs w:val="28"/>
              </w:rPr>
              <w:t>Необходимость наличия</w:t>
            </w:r>
          </w:p>
        </w:tc>
      </w:tr>
      <w:tr w:rsidR="0084401A" w:rsidRPr="00EE5B10" w:rsidTr="0084401A">
        <w:trPr>
          <w:trHeight w:val="678"/>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rPr>
                <w:sz w:val="28"/>
                <w:szCs w:val="28"/>
              </w:rPr>
            </w:pPr>
            <w:r w:rsidRPr="003E2660">
              <w:rPr>
                <w:sz w:val="28"/>
                <w:szCs w:val="28"/>
              </w:rPr>
              <w:t>линзы очковые стигматические с задней вершинной рефракцией: </w:t>
            </w:r>
          </w:p>
          <w:p w:rsidR="0084401A" w:rsidRPr="00EE5B10" w:rsidRDefault="0084401A" w:rsidP="0084401A">
            <w:pPr>
              <w:rPr>
                <w:sz w:val="28"/>
                <w:szCs w:val="28"/>
              </w:rPr>
            </w:pPr>
            <w:r w:rsidRPr="003E2660">
              <w:rPr>
                <w:sz w:val="28"/>
                <w:szCs w:val="28"/>
              </w:rPr>
              <w:t xml:space="preserve">от +0.25 до +20.00 </w:t>
            </w:r>
            <w:proofErr w:type="spellStart"/>
            <w:r w:rsidRPr="003E2660">
              <w:rPr>
                <w:sz w:val="28"/>
                <w:szCs w:val="28"/>
              </w:rPr>
              <w:t>дптр</w:t>
            </w:r>
            <w:proofErr w:type="spellEnd"/>
            <w:r w:rsidRPr="003E2660">
              <w:rPr>
                <w:sz w:val="28"/>
                <w:szCs w:val="28"/>
              </w:rPr>
              <w:t>     </w:t>
            </w:r>
          </w:p>
          <w:p w:rsidR="0084401A" w:rsidRPr="00EE5B10" w:rsidRDefault="0084401A" w:rsidP="0084401A">
            <w:pPr>
              <w:rPr>
                <w:sz w:val="28"/>
                <w:szCs w:val="28"/>
              </w:rPr>
            </w:pPr>
            <w:r w:rsidRPr="003E2660">
              <w:rPr>
                <w:sz w:val="28"/>
                <w:szCs w:val="28"/>
              </w:rPr>
              <w:t xml:space="preserve">от –0.25 до –20.00 </w:t>
            </w:r>
            <w:proofErr w:type="spellStart"/>
            <w:r w:rsidRPr="00EE5B10">
              <w:rPr>
                <w:sz w:val="28"/>
                <w:szCs w:val="28"/>
              </w:rPr>
              <w:t>дптр</w:t>
            </w:r>
            <w:proofErr w:type="spellEnd"/>
          </w:p>
          <w:p w:rsidR="0084401A" w:rsidRPr="003E2660" w:rsidRDefault="0084401A" w:rsidP="0084401A">
            <w:pPr>
              <w:rPr>
                <w:sz w:val="28"/>
                <w:szCs w:val="28"/>
              </w:rPr>
            </w:pPr>
            <w:r w:rsidRPr="003E2660">
              <w:rPr>
                <w:sz w:val="28"/>
                <w:szCs w:val="28"/>
              </w:rPr>
              <w:t>                                                                                                          </w:t>
            </w:r>
          </w:p>
        </w:tc>
        <w:tc>
          <w:tcPr>
            <w:tcW w:w="2770"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pStyle w:val="afe"/>
              <w:ind w:left="420"/>
              <w:rPr>
                <w:sz w:val="28"/>
                <w:szCs w:val="28"/>
              </w:rPr>
            </w:pPr>
          </w:p>
          <w:p w:rsidR="0084401A" w:rsidRPr="00EE5B10" w:rsidRDefault="0084401A" w:rsidP="0084401A">
            <w:pPr>
              <w:pStyle w:val="afe"/>
              <w:numPr>
                <w:ilvl w:val="0"/>
                <w:numId w:val="46"/>
              </w:numPr>
              <w:rPr>
                <w:sz w:val="28"/>
                <w:szCs w:val="28"/>
              </w:rPr>
            </w:pPr>
            <w:r w:rsidRPr="00EE5B10">
              <w:rPr>
                <w:sz w:val="28"/>
                <w:szCs w:val="28"/>
              </w:rPr>
              <w:t>пары</w:t>
            </w:r>
          </w:p>
          <w:p w:rsidR="0084401A" w:rsidRPr="003E2660" w:rsidRDefault="0084401A" w:rsidP="0084401A">
            <w:pPr>
              <w:rPr>
                <w:sz w:val="28"/>
                <w:szCs w:val="28"/>
              </w:rPr>
            </w:pPr>
            <w:r w:rsidRPr="00EE5B10">
              <w:rPr>
                <w:sz w:val="28"/>
                <w:szCs w:val="28"/>
              </w:rPr>
              <w:t xml:space="preserve">      </w:t>
            </w:r>
            <w:r w:rsidRPr="003E2660">
              <w:rPr>
                <w:sz w:val="28"/>
                <w:szCs w:val="28"/>
              </w:rPr>
              <w:t>34</w:t>
            </w:r>
            <w:r w:rsidRPr="00EE5B10">
              <w:rPr>
                <w:sz w:val="28"/>
                <w:szCs w:val="28"/>
              </w:rPr>
              <w:t xml:space="preserve"> </w:t>
            </w:r>
            <w:r w:rsidRPr="003E2660">
              <w:rPr>
                <w:sz w:val="28"/>
                <w:szCs w:val="28"/>
              </w:rPr>
              <w:t>пары</w:t>
            </w:r>
          </w:p>
        </w:tc>
      </w:tr>
      <w:tr w:rsidR="0084401A" w:rsidRPr="00EE5B10" w:rsidTr="0084401A">
        <w:trPr>
          <w:trHeight w:val="848"/>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rPr>
                <w:sz w:val="28"/>
                <w:szCs w:val="28"/>
              </w:rPr>
            </w:pPr>
            <w:r w:rsidRPr="003E2660">
              <w:rPr>
                <w:sz w:val="28"/>
                <w:szCs w:val="28"/>
              </w:rPr>
              <w:t>линзы очковые астигматические с задней вершинной рефракцией в одном главном сечении:                          </w:t>
            </w:r>
          </w:p>
          <w:p w:rsidR="0084401A" w:rsidRPr="003E2660" w:rsidRDefault="0084401A" w:rsidP="0084401A">
            <w:pPr>
              <w:numPr>
                <w:ilvl w:val="0"/>
                <w:numId w:val="44"/>
              </w:numPr>
              <w:rPr>
                <w:sz w:val="28"/>
                <w:szCs w:val="28"/>
              </w:rPr>
            </w:pPr>
            <w:r w:rsidRPr="003E2660">
              <w:rPr>
                <w:sz w:val="28"/>
                <w:szCs w:val="28"/>
              </w:rPr>
              <w:t xml:space="preserve">от +0.25 до +6.00 </w:t>
            </w:r>
            <w:proofErr w:type="spellStart"/>
            <w:r w:rsidRPr="003E2660">
              <w:rPr>
                <w:sz w:val="28"/>
                <w:szCs w:val="28"/>
              </w:rPr>
              <w:t>дптр</w:t>
            </w:r>
            <w:proofErr w:type="spellEnd"/>
            <w:r w:rsidRPr="003E2660">
              <w:rPr>
                <w:sz w:val="28"/>
                <w:szCs w:val="28"/>
              </w:rPr>
              <w:t>  </w:t>
            </w:r>
          </w:p>
          <w:p w:rsidR="0084401A" w:rsidRPr="003E2660" w:rsidRDefault="0084401A" w:rsidP="0084401A">
            <w:pPr>
              <w:numPr>
                <w:ilvl w:val="0"/>
                <w:numId w:val="44"/>
              </w:numPr>
              <w:rPr>
                <w:sz w:val="28"/>
                <w:szCs w:val="28"/>
              </w:rPr>
            </w:pPr>
            <w:r w:rsidRPr="003E2660">
              <w:rPr>
                <w:sz w:val="28"/>
                <w:szCs w:val="28"/>
              </w:rPr>
              <w:t xml:space="preserve">от –0.25 до –6.00 </w:t>
            </w:r>
            <w:proofErr w:type="spellStart"/>
            <w:r w:rsidRPr="003E2660">
              <w:rPr>
                <w:sz w:val="28"/>
                <w:szCs w:val="28"/>
              </w:rPr>
              <w:t>дптр</w:t>
            </w:r>
            <w:proofErr w:type="spellEnd"/>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EE5B10" w:rsidRDefault="0084401A" w:rsidP="0084401A">
            <w:pPr>
              <w:rPr>
                <w:sz w:val="28"/>
                <w:szCs w:val="28"/>
              </w:rPr>
            </w:pPr>
            <w:r w:rsidRPr="003E2660">
              <w:rPr>
                <w:sz w:val="28"/>
                <w:szCs w:val="28"/>
              </w:rPr>
              <w:t>           </w:t>
            </w:r>
          </w:p>
          <w:p w:rsidR="0084401A" w:rsidRPr="003E2660" w:rsidRDefault="0084401A" w:rsidP="0084401A">
            <w:pPr>
              <w:rPr>
                <w:sz w:val="28"/>
                <w:szCs w:val="28"/>
              </w:rPr>
            </w:pPr>
            <w:r w:rsidRPr="003E2660">
              <w:rPr>
                <w:sz w:val="28"/>
                <w:szCs w:val="28"/>
              </w:rPr>
              <w:t>                        </w:t>
            </w:r>
          </w:p>
          <w:p w:rsidR="0084401A" w:rsidRPr="003E2660" w:rsidRDefault="0084401A" w:rsidP="0084401A">
            <w:pPr>
              <w:numPr>
                <w:ilvl w:val="0"/>
                <w:numId w:val="45"/>
              </w:numPr>
              <w:rPr>
                <w:sz w:val="28"/>
                <w:szCs w:val="28"/>
              </w:rPr>
            </w:pPr>
            <w:r w:rsidRPr="003E2660">
              <w:rPr>
                <w:sz w:val="28"/>
                <w:szCs w:val="28"/>
              </w:rPr>
              <w:t>20 пар </w:t>
            </w:r>
          </w:p>
          <w:p w:rsidR="0084401A" w:rsidRPr="003E2660" w:rsidRDefault="0084401A" w:rsidP="0084401A">
            <w:pPr>
              <w:numPr>
                <w:ilvl w:val="0"/>
                <w:numId w:val="45"/>
              </w:numPr>
              <w:rPr>
                <w:sz w:val="28"/>
                <w:szCs w:val="28"/>
              </w:rPr>
            </w:pPr>
            <w:r w:rsidRPr="003E2660">
              <w:rPr>
                <w:sz w:val="28"/>
                <w:szCs w:val="28"/>
              </w:rPr>
              <w:t>20 пар </w:t>
            </w:r>
          </w:p>
        </w:tc>
      </w:tr>
      <w:tr w:rsidR="0084401A" w:rsidRPr="00EE5B10" w:rsidTr="0084401A">
        <w:trPr>
          <w:trHeight w:val="226"/>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 xml:space="preserve">линзы очковые призматические с призматическим   действием от 0.50 до 10.00 </w:t>
            </w:r>
            <w:proofErr w:type="spellStart"/>
            <w:r w:rsidRPr="003E2660">
              <w:rPr>
                <w:sz w:val="28"/>
                <w:szCs w:val="28"/>
              </w:rPr>
              <w:t>срад</w:t>
            </w:r>
            <w:proofErr w:type="spellEnd"/>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15 шт. </w:t>
            </w:r>
          </w:p>
        </w:tc>
      </w:tr>
      <w:tr w:rsidR="0084401A" w:rsidRPr="00EE5B10" w:rsidTr="0084401A">
        <w:trPr>
          <w:trHeight w:val="176"/>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светофильтры нейтральные с коэффициентом пропускания 25%, 50%, 75%</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по 2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светофильтры цветные: красный, сине-зеленый</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по 1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пластины плоскопараллельные (из бесцветного стекла)</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 2 шт.</w:t>
            </w:r>
          </w:p>
        </w:tc>
      </w:tr>
      <w:tr w:rsidR="0084401A" w:rsidRPr="00EE5B10" w:rsidTr="0084401A">
        <w:trPr>
          <w:trHeight w:val="237"/>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 xml:space="preserve">цилиндр </w:t>
            </w:r>
            <w:proofErr w:type="spellStart"/>
            <w:r w:rsidRPr="003E2660">
              <w:rPr>
                <w:sz w:val="28"/>
                <w:szCs w:val="28"/>
              </w:rPr>
              <w:t>Меддокса</w:t>
            </w:r>
            <w:proofErr w:type="spellEnd"/>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стекло матовое</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37"/>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proofErr w:type="gramStart"/>
            <w:r w:rsidRPr="003E2660">
              <w:rPr>
                <w:sz w:val="28"/>
                <w:szCs w:val="28"/>
              </w:rPr>
              <w:t>цилиндры</w:t>
            </w:r>
            <w:proofErr w:type="gramEnd"/>
            <w:r w:rsidRPr="003E2660">
              <w:rPr>
                <w:sz w:val="28"/>
                <w:szCs w:val="28"/>
              </w:rPr>
              <w:t xml:space="preserve"> скрещенные от +0.25 до +0.50 </w:t>
            </w:r>
            <w:proofErr w:type="spellStart"/>
            <w:r w:rsidRPr="003E2660">
              <w:rPr>
                <w:sz w:val="28"/>
                <w:szCs w:val="28"/>
              </w:rPr>
              <w:t>дптр</w:t>
            </w:r>
            <w:proofErr w:type="spellEnd"/>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по 1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proofErr w:type="spellStart"/>
            <w:r w:rsidRPr="003E2660">
              <w:rPr>
                <w:sz w:val="28"/>
                <w:szCs w:val="28"/>
              </w:rPr>
              <w:t>окклюдор</w:t>
            </w:r>
            <w:proofErr w:type="spellEnd"/>
            <w:r w:rsidRPr="003E2660">
              <w:rPr>
                <w:sz w:val="28"/>
                <w:szCs w:val="28"/>
              </w:rPr>
              <w:t xml:space="preserve"> (экран)</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37"/>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диафрагмы с диаметром отверстия 1.5; 3.0; 4.0 мм</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4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диафрагмы щелевые 1.5; 12 мм                                        </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2 шт.</w:t>
            </w:r>
          </w:p>
        </w:tc>
      </w:tr>
      <w:tr w:rsidR="0084401A" w:rsidRPr="00EE5B10" w:rsidTr="0084401A">
        <w:trPr>
          <w:trHeight w:val="237"/>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оправа пробная универсальная</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lastRenderedPageBreak/>
              <w:t xml:space="preserve">оправа пробная </w:t>
            </w:r>
            <w:proofErr w:type="spellStart"/>
            <w:r w:rsidRPr="003E2660">
              <w:rPr>
                <w:sz w:val="28"/>
                <w:szCs w:val="28"/>
              </w:rPr>
              <w:t>полуободковая</w:t>
            </w:r>
            <w:proofErr w:type="spellEnd"/>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37"/>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rPr>
                <w:sz w:val="28"/>
                <w:szCs w:val="28"/>
              </w:rPr>
            </w:pPr>
            <w:r w:rsidRPr="003E2660">
              <w:rPr>
                <w:sz w:val="28"/>
                <w:szCs w:val="28"/>
              </w:rPr>
              <w:t>таблица для подбора очков (для близи)</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rPr>
                <w:sz w:val="28"/>
                <w:szCs w:val="28"/>
              </w:rPr>
            </w:pPr>
            <w:r w:rsidRPr="003E2660">
              <w:rPr>
                <w:sz w:val="28"/>
                <w:szCs w:val="28"/>
              </w:rPr>
              <w:t>салфетка</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37"/>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rPr>
                <w:sz w:val="28"/>
                <w:szCs w:val="28"/>
              </w:rPr>
            </w:pPr>
            <w:r w:rsidRPr="003E2660">
              <w:rPr>
                <w:sz w:val="28"/>
                <w:szCs w:val="28"/>
              </w:rPr>
              <w:t>футляр</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3E2660">
              <w:rPr>
                <w:sz w:val="28"/>
                <w:szCs w:val="28"/>
              </w:rPr>
              <w:t>1 шт.</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rPr>
                <w:sz w:val="28"/>
                <w:szCs w:val="28"/>
              </w:rPr>
            </w:pPr>
            <w:r w:rsidRPr="00EE5B10">
              <w:rPr>
                <w:sz w:val="28"/>
                <w:szCs w:val="28"/>
              </w:rPr>
              <w:t>П</w:t>
            </w:r>
            <w:r w:rsidRPr="003E2660">
              <w:rPr>
                <w:sz w:val="28"/>
                <w:szCs w:val="28"/>
              </w:rPr>
              <w:t>аспорт</w:t>
            </w:r>
            <w:r w:rsidRPr="00EE5B10">
              <w:rPr>
                <w:sz w:val="28"/>
                <w:szCs w:val="28"/>
              </w:rPr>
              <w:t>, руководство по эксплуатации</w:t>
            </w:r>
          </w:p>
        </w:tc>
        <w:tc>
          <w:tcPr>
            <w:tcW w:w="2770" w:type="dxa"/>
            <w:tcBorders>
              <w:top w:val="outset" w:sz="6" w:space="0" w:color="A9A9A9"/>
              <w:left w:val="outset" w:sz="6" w:space="0" w:color="A9A9A9"/>
              <w:bottom w:val="outset" w:sz="6" w:space="0" w:color="A9A9A9"/>
              <w:right w:val="outset" w:sz="6" w:space="0" w:color="A9A9A9"/>
            </w:tcBorders>
            <w:shd w:val="clear" w:color="auto" w:fill="FFFFFF"/>
            <w:hideMark/>
          </w:tcPr>
          <w:p w:rsidR="0084401A" w:rsidRPr="003E2660" w:rsidRDefault="0084401A" w:rsidP="0084401A">
            <w:pPr>
              <w:spacing w:before="100" w:beforeAutospacing="1" w:after="100" w:afterAutospacing="1"/>
              <w:jc w:val="center"/>
              <w:rPr>
                <w:sz w:val="28"/>
                <w:szCs w:val="28"/>
              </w:rPr>
            </w:pPr>
            <w:r w:rsidRPr="00EE5B10">
              <w:rPr>
                <w:sz w:val="28"/>
                <w:szCs w:val="28"/>
              </w:rPr>
              <w:t>да</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rPr>
                <w:sz w:val="28"/>
                <w:szCs w:val="28"/>
              </w:rPr>
            </w:pPr>
            <w:r w:rsidRPr="00EE5B10">
              <w:rPr>
                <w:sz w:val="28"/>
                <w:szCs w:val="28"/>
              </w:rPr>
              <w:t>Наличие знака утверждения типа</w:t>
            </w:r>
          </w:p>
        </w:tc>
        <w:tc>
          <w:tcPr>
            <w:tcW w:w="2770"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spacing w:before="100" w:beforeAutospacing="1" w:after="100" w:afterAutospacing="1"/>
              <w:jc w:val="center"/>
              <w:rPr>
                <w:sz w:val="28"/>
                <w:szCs w:val="28"/>
              </w:rPr>
            </w:pPr>
            <w:r w:rsidRPr="00EE5B10">
              <w:rPr>
                <w:sz w:val="28"/>
                <w:szCs w:val="28"/>
              </w:rPr>
              <w:t>да</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rPr>
                <w:sz w:val="28"/>
                <w:szCs w:val="28"/>
              </w:rPr>
            </w:pPr>
            <w:r w:rsidRPr="00EE5B10">
              <w:rPr>
                <w:sz w:val="28"/>
                <w:szCs w:val="28"/>
              </w:rPr>
              <w:t>Наличие действующей поверки</w:t>
            </w:r>
          </w:p>
        </w:tc>
        <w:tc>
          <w:tcPr>
            <w:tcW w:w="2770"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spacing w:before="100" w:beforeAutospacing="1" w:after="100" w:afterAutospacing="1"/>
              <w:jc w:val="center"/>
              <w:rPr>
                <w:sz w:val="28"/>
                <w:szCs w:val="28"/>
              </w:rPr>
            </w:pPr>
            <w:r w:rsidRPr="00EE5B10">
              <w:rPr>
                <w:sz w:val="28"/>
                <w:szCs w:val="28"/>
              </w:rPr>
              <w:t>да</w:t>
            </w:r>
          </w:p>
        </w:tc>
      </w:tr>
      <w:tr w:rsidR="0084401A" w:rsidRPr="00EE5B10" w:rsidTr="0084401A">
        <w:trPr>
          <w:trHeight w:val="223"/>
          <w:tblCellSpacing w:w="0" w:type="dxa"/>
        </w:trPr>
        <w:tc>
          <w:tcPr>
            <w:tcW w:w="12617"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rPr>
                <w:sz w:val="28"/>
                <w:szCs w:val="28"/>
              </w:rPr>
            </w:pPr>
            <w:r w:rsidRPr="00EE5B10">
              <w:rPr>
                <w:sz w:val="28"/>
                <w:szCs w:val="28"/>
              </w:rPr>
              <w:t xml:space="preserve">Наличие номера по </w:t>
            </w:r>
            <w:proofErr w:type="spellStart"/>
            <w:r w:rsidRPr="00EE5B10">
              <w:rPr>
                <w:sz w:val="28"/>
                <w:szCs w:val="28"/>
              </w:rPr>
              <w:t>Госреестру</w:t>
            </w:r>
            <w:proofErr w:type="spellEnd"/>
            <w:r w:rsidRPr="00EE5B10">
              <w:rPr>
                <w:sz w:val="28"/>
                <w:szCs w:val="28"/>
              </w:rPr>
              <w:t xml:space="preserve"> СИ</w:t>
            </w:r>
          </w:p>
        </w:tc>
        <w:tc>
          <w:tcPr>
            <w:tcW w:w="2770" w:type="dxa"/>
            <w:tcBorders>
              <w:top w:val="outset" w:sz="6" w:space="0" w:color="A9A9A9"/>
              <w:left w:val="outset" w:sz="6" w:space="0" w:color="A9A9A9"/>
              <w:bottom w:val="outset" w:sz="6" w:space="0" w:color="A9A9A9"/>
              <w:right w:val="outset" w:sz="6" w:space="0" w:color="A9A9A9"/>
            </w:tcBorders>
            <w:shd w:val="clear" w:color="auto" w:fill="FFFFFF"/>
          </w:tcPr>
          <w:p w:rsidR="0084401A" w:rsidRPr="00EE5B10" w:rsidRDefault="0084401A" w:rsidP="0084401A">
            <w:pPr>
              <w:spacing w:before="100" w:beforeAutospacing="1" w:after="100" w:afterAutospacing="1"/>
              <w:jc w:val="center"/>
              <w:rPr>
                <w:sz w:val="28"/>
                <w:szCs w:val="28"/>
              </w:rPr>
            </w:pPr>
            <w:r w:rsidRPr="00EE5B10">
              <w:rPr>
                <w:sz w:val="28"/>
                <w:szCs w:val="28"/>
              </w:rPr>
              <w:t>да</w:t>
            </w:r>
          </w:p>
        </w:tc>
      </w:tr>
    </w:tbl>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84401A" w:rsidRPr="003C5512" w:rsidRDefault="0084401A" w:rsidP="0084401A">
      <w:pPr>
        <w:contextualSpacing/>
        <w:jc w:val="center"/>
        <w:rPr>
          <w:sz w:val="22"/>
          <w:szCs w:val="22"/>
        </w:rPr>
      </w:pPr>
      <w:r>
        <w:rPr>
          <w:sz w:val="22"/>
          <w:szCs w:val="22"/>
        </w:rPr>
        <w:t xml:space="preserve">               </w:t>
      </w:r>
      <w:r w:rsidR="003C5512">
        <w:rPr>
          <w:sz w:val="22"/>
          <w:szCs w:val="22"/>
        </w:rPr>
        <w:t xml:space="preserve"> </w:t>
      </w:r>
      <w:r w:rsidR="00CB483A">
        <w:rPr>
          <w:sz w:val="22"/>
          <w:szCs w:val="22"/>
        </w:rPr>
        <w:t xml:space="preserve">на поставку </w:t>
      </w:r>
      <w:r w:rsidRPr="00240968">
        <w:rPr>
          <w:rFonts w:eastAsia="Calibri"/>
          <w:color w:val="000000" w:themeColor="text1"/>
        </w:rPr>
        <w:t>набора  пробных очковых линз</w:t>
      </w:r>
    </w:p>
    <w:p w:rsidR="003C5512" w:rsidRPr="000E0BAE" w:rsidRDefault="003C5512" w:rsidP="0084401A">
      <w:pPr>
        <w:widowControl w:val="0"/>
        <w:autoSpaceDE w:val="0"/>
        <w:autoSpaceDN w:val="0"/>
        <w:adjustRightInd w:val="0"/>
        <w:ind w:hanging="142"/>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9D7597">
        <w:t xml:space="preserve">92 766 </w:t>
      </w:r>
      <w:r w:rsidR="001A0CB9" w:rsidRPr="00C541DD">
        <w:t>рубл</w:t>
      </w:r>
      <w:r w:rsidR="001A0CB9">
        <w:t>ей</w:t>
      </w:r>
      <w:r w:rsidR="001A0CB9" w:rsidRPr="00C541DD">
        <w:t xml:space="preserve"> </w:t>
      </w:r>
      <w:r w:rsidR="009D7597">
        <w:t xml:space="preserve">66 </w:t>
      </w:r>
      <w:bookmarkStart w:id="0" w:name="_GoBack"/>
      <w:bookmarkEnd w:id="0"/>
      <w:r w:rsidR="001A0CB9" w:rsidRPr="00C541DD">
        <w:t>копе</w:t>
      </w:r>
      <w:r w:rsidR="004961DA">
        <w:t>ек</w:t>
      </w:r>
      <w:r w:rsidR="001A0CB9" w:rsidRPr="00C541DD">
        <w:rPr>
          <w:bCs/>
        </w:rPr>
        <w:t>.</w:t>
      </w:r>
      <w:r w:rsidR="001A0CB9">
        <w:rPr>
          <w:bCs/>
        </w:rPr>
        <w:t xml:space="preserve"> </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4A7484"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r w:rsidR="00CB483A" w:rsidRPr="004A7484">
        <w:rPr>
          <w:b/>
          <w:bCs/>
          <w:sz w:val="22"/>
          <w:szCs w:val="22"/>
        </w:rPr>
        <w:t>Условия исполнения договора:</w:t>
      </w:r>
    </w:p>
    <w:p w:rsidR="00CB483A" w:rsidRPr="004A7484" w:rsidRDefault="00CB483A" w:rsidP="00CB483A">
      <w:pPr>
        <w:pStyle w:val="afe"/>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CB483A" w:rsidRPr="004A7484" w:rsidRDefault="00CB483A" w:rsidP="00CB483A">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483A" w:rsidRPr="004A7484" w:rsidRDefault="00CB483A" w:rsidP="00CB483A">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CB483A" w:rsidRPr="004A7484" w:rsidRDefault="00CB483A" w:rsidP="00CB483A">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B483A" w:rsidRPr="004A7484" w:rsidRDefault="00CB483A" w:rsidP="00CB483A">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B483A" w:rsidRPr="004A7484" w:rsidRDefault="00CB483A" w:rsidP="00CB483A">
      <w:pPr>
        <w:ind w:firstLine="709"/>
        <w:jc w:val="both"/>
        <w:rPr>
          <w:sz w:val="22"/>
          <w:szCs w:val="22"/>
        </w:rPr>
      </w:pPr>
      <w:r w:rsidRPr="004A7484">
        <w:rPr>
          <w:sz w:val="22"/>
          <w:szCs w:val="22"/>
        </w:rPr>
        <w:t xml:space="preserve">3) По количеству и качеству Товар должен полностью соответствовать котировочной документации. </w:t>
      </w:r>
    </w:p>
    <w:p w:rsidR="00CB483A" w:rsidRDefault="00CB483A" w:rsidP="00CB483A">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4961DA" w:rsidRPr="004961DA" w:rsidRDefault="004961DA" w:rsidP="004961DA">
      <w:pPr>
        <w:widowControl w:val="0"/>
        <w:autoSpaceDE w:val="0"/>
        <w:autoSpaceDN w:val="0"/>
        <w:adjustRightInd w:val="0"/>
        <w:jc w:val="both"/>
        <w:rPr>
          <w:rFonts w:eastAsia="Calibri"/>
          <w:color w:val="000000" w:themeColor="text1"/>
          <w:sz w:val="22"/>
          <w:szCs w:val="22"/>
        </w:rPr>
      </w:pPr>
      <w:r>
        <w:rPr>
          <w:sz w:val="22"/>
          <w:szCs w:val="22"/>
        </w:rPr>
        <w:t xml:space="preserve">            </w:t>
      </w:r>
      <w:r w:rsidRPr="004961DA">
        <w:rPr>
          <w:sz w:val="22"/>
          <w:szCs w:val="22"/>
        </w:rPr>
        <w:t>5)</w:t>
      </w:r>
      <w:r w:rsidRPr="004961DA">
        <w:rPr>
          <w:rFonts w:eastAsia="Calibri"/>
          <w:color w:val="000000" w:themeColor="text1"/>
          <w:sz w:val="22"/>
          <w:szCs w:val="22"/>
        </w:rPr>
        <w:t xml:space="preserve"> Набор пробных очковых линз средний должен быть зарегистрирован в </w:t>
      </w:r>
      <w:proofErr w:type="spellStart"/>
      <w:r w:rsidRPr="004961DA">
        <w:rPr>
          <w:rFonts w:eastAsia="Calibri"/>
          <w:color w:val="000000" w:themeColor="text1"/>
          <w:sz w:val="22"/>
          <w:szCs w:val="22"/>
        </w:rPr>
        <w:t>госреестре</w:t>
      </w:r>
      <w:proofErr w:type="spellEnd"/>
      <w:r w:rsidRPr="004961DA">
        <w:rPr>
          <w:rFonts w:eastAsia="Calibri"/>
          <w:color w:val="000000" w:themeColor="text1"/>
          <w:sz w:val="22"/>
          <w:szCs w:val="22"/>
        </w:rPr>
        <w:t xml:space="preserve"> СИ, иметь документ, подтверждающий отметку о действующей поверке </w:t>
      </w:r>
    </w:p>
    <w:p w:rsidR="004961DA" w:rsidRPr="004A7484" w:rsidRDefault="004961DA" w:rsidP="00CB483A">
      <w:pPr>
        <w:ind w:firstLine="709"/>
        <w:jc w:val="both"/>
        <w:rPr>
          <w:sz w:val="22"/>
          <w:szCs w:val="22"/>
        </w:rPr>
      </w:pPr>
    </w:p>
    <w:p w:rsidR="00CB483A" w:rsidRPr="004A7484" w:rsidRDefault="00CB483A" w:rsidP="00CB483A">
      <w:pPr>
        <w:pStyle w:val="afe"/>
        <w:numPr>
          <w:ilvl w:val="0"/>
          <w:numId w:val="10"/>
        </w:numPr>
        <w:ind w:left="426"/>
        <w:jc w:val="both"/>
        <w:rPr>
          <w:sz w:val="22"/>
          <w:szCs w:val="22"/>
        </w:rPr>
      </w:pPr>
      <w:r w:rsidRPr="004A7484">
        <w:rPr>
          <w:b/>
          <w:bCs/>
          <w:sz w:val="22"/>
          <w:szCs w:val="22"/>
        </w:rPr>
        <w:t xml:space="preserve">Место доставки:  </w:t>
      </w:r>
      <w:r>
        <w:rPr>
          <w:sz w:val="22"/>
          <w:szCs w:val="22"/>
        </w:rPr>
        <w:t xml:space="preserve">453115, г. Стерлитамак, ул. </w:t>
      </w:r>
      <w:proofErr w:type="spellStart"/>
      <w:r>
        <w:rPr>
          <w:sz w:val="22"/>
          <w:szCs w:val="22"/>
        </w:rPr>
        <w:t>Нагуманова</w:t>
      </w:r>
      <w:proofErr w:type="spellEnd"/>
      <w:r>
        <w:rPr>
          <w:sz w:val="22"/>
          <w:szCs w:val="22"/>
        </w:rPr>
        <w:t>, д.54</w:t>
      </w:r>
    </w:p>
    <w:p w:rsidR="00CB483A" w:rsidRPr="004A7484" w:rsidRDefault="00CB483A" w:rsidP="00CB483A">
      <w:pPr>
        <w:pStyle w:val="afe"/>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CB483A" w:rsidRPr="004961DA" w:rsidRDefault="00CB483A" w:rsidP="00CB483A">
      <w:pPr>
        <w:pStyle w:val="afe"/>
        <w:numPr>
          <w:ilvl w:val="0"/>
          <w:numId w:val="10"/>
        </w:numPr>
        <w:ind w:left="426"/>
        <w:jc w:val="both"/>
        <w:rPr>
          <w:sz w:val="22"/>
          <w:szCs w:val="22"/>
          <w:highlight w:val="yellow"/>
        </w:rPr>
      </w:pPr>
      <w:r w:rsidRPr="006F5DD3">
        <w:rPr>
          <w:b/>
          <w:bCs/>
          <w:sz w:val="22"/>
          <w:szCs w:val="22"/>
        </w:rPr>
        <w:t>Сроки и условия поставки товаров</w:t>
      </w:r>
      <w:r w:rsidRPr="004961DA">
        <w:rPr>
          <w:b/>
          <w:bCs/>
          <w:sz w:val="22"/>
          <w:szCs w:val="22"/>
        </w:rPr>
        <w:t xml:space="preserve">: </w:t>
      </w:r>
      <w:r w:rsidR="004961DA" w:rsidRPr="004961DA">
        <w:rPr>
          <w:rFonts w:eastAsia="Calibri"/>
          <w:color w:val="000000" w:themeColor="text1"/>
          <w:kern w:val="16"/>
          <w:sz w:val="22"/>
          <w:szCs w:val="22"/>
        </w:rPr>
        <w:t>поставка осуществляется в течение 10 дней с</w:t>
      </w:r>
      <w:r w:rsidR="004961DA" w:rsidRPr="004961DA">
        <w:rPr>
          <w:rFonts w:eastAsia="MS Mincho"/>
          <w:color w:val="000000" w:themeColor="text1"/>
          <w:sz w:val="22"/>
          <w:szCs w:val="22"/>
        </w:rPr>
        <w:t xml:space="preserve"> момента заключения договора</w:t>
      </w:r>
    </w:p>
    <w:p w:rsidR="00CB483A" w:rsidRPr="004A7484" w:rsidRDefault="00CB483A" w:rsidP="00CB483A">
      <w:pPr>
        <w:pStyle w:val="afe"/>
        <w:numPr>
          <w:ilvl w:val="0"/>
          <w:numId w:val="10"/>
        </w:numPr>
        <w:ind w:left="426"/>
        <w:jc w:val="both"/>
        <w:rPr>
          <w:spacing w:val="-9"/>
          <w:sz w:val="22"/>
          <w:szCs w:val="22"/>
        </w:rPr>
      </w:pPr>
      <w:r w:rsidRPr="004A7484">
        <w:rPr>
          <w:b/>
          <w:bCs/>
          <w:sz w:val="22"/>
          <w:szCs w:val="22"/>
        </w:rPr>
        <w:lastRenderedPageBreak/>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CB483A" w:rsidRPr="004A7484" w:rsidRDefault="00CB483A" w:rsidP="006F5DD3">
      <w:pPr>
        <w:pStyle w:val="afe"/>
        <w:numPr>
          <w:ilvl w:val="0"/>
          <w:numId w:val="10"/>
        </w:numPr>
        <w:ind w:left="426"/>
        <w:jc w:val="both"/>
        <w:rPr>
          <w:sz w:val="22"/>
          <w:szCs w:val="22"/>
        </w:rPr>
      </w:pPr>
      <w:r w:rsidRPr="006F5DD3">
        <w:rPr>
          <w:b/>
          <w:bCs/>
          <w:sz w:val="22"/>
          <w:szCs w:val="22"/>
        </w:rPr>
        <w:t xml:space="preserve">Срок и условия оплаты: </w:t>
      </w:r>
      <w:r w:rsidR="006F5DD3">
        <w:rPr>
          <w:color w:val="000000"/>
          <w:shd w:val="clear" w:color="auto" w:fill="FFFFFF"/>
        </w:rPr>
        <w:t xml:space="preserve">Оплата Товара производится Покупателем путем перечисления денежных средств на расчетный счет Поставщика в течение 10 календарных дней после приемки очередной партии Товара Покупателем. </w:t>
      </w:r>
    </w:p>
    <w:p w:rsidR="00CB483A" w:rsidRPr="004A7484" w:rsidRDefault="00CB483A" w:rsidP="00CB483A">
      <w:pPr>
        <w:pStyle w:val="afe"/>
        <w:numPr>
          <w:ilvl w:val="0"/>
          <w:numId w:val="10"/>
        </w:numPr>
        <w:ind w:left="426"/>
        <w:jc w:val="both"/>
        <w:rPr>
          <w:b/>
          <w:bCs/>
          <w:sz w:val="22"/>
          <w:szCs w:val="22"/>
        </w:rPr>
      </w:pPr>
      <w:r w:rsidRPr="004A7484">
        <w:rPr>
          <w:b/>
          <w:bCs/>
          <w:sz w:val="22"/>
          <w:szCs w:val="22"/>
        </w:rPr>
        <w:t xml:space="preserve">Особые условия: </w:t>
      </w:r>
      <w:r w:rsidRPr="004A7484">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4A7484">
        <w:rPr>
          <w:bCs/>
          <w:sz w:val="22"/>
          <w:szCs w:val="22"/>
          <w:u w:val="single"/>
        </w:rPr>
        <w:t>не должен быть хуже,</w:t>
      </w:r>
      <w:r w:rsidRPr="004A7484">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4A7484" w:rsidRDefault="00CB483A" w:rsidP="00CB483A">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CB483A" w:rsidRDefault="00CB483A" w:rsidP="00CB483A">
      <w:pPr>
        <w:pStyle w:val="afe"/>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B4680B" w:rsidP="00CB483A">
      <w:pPr>
        <w:pStyle w:val="afe"/>
        <w:numPr>
          <w:ilvl w:val="0"/>
          <w:numId w:val="10"/>
        </w:numPr>
        <w:ind w:left="426"/>
        <w:jc w:val="both"/>
        <w:rPr>
          <w:bCs/>
          <w:sz w:val="22"/>
          <w:szCs w:val="22"/>
          <w:u w:val="single"/>
        </w:rPr>
      </w:pPr>
      <w:r w:rsidRPr="00CB483A">
        <w:rPr>
          <w:b/>
          <w:bCs/>
          <w:sz w:val="22"/>
          <w:szCs w:val="22"/>
        </w:rPr>
        <w:t>Место подачи котировочных заявок:</w:t>
      </w:r>
      <w:r w:rsidRPr="00CB483A">
        <w:rPr>
          <w:sz w:val="22"/>
          <w:szCs w:val="22"/>
        </w:rPr>
        <w:t xml:space="preserve"> </w:t>
      </w:r>
      <w:r w:rsidR="00800469" w:rsidRPr="00CB483A">
        <w:rPr>
          <w:sz w:val="22"/>
          <w:szCs w:val="22"/>
        </w:rPr>
        <w:t xml:space="preserve">НУЗ «Узловая больница на ст. Стерлитамак ОАО «РЖД» </w:t>
      </w:r>
      <w:r w:rsidRPr="00CB483A">
        <w:rPr>
          <w:sz w:val="22"/>
          <w:szCs w:val="22"/>
        </w:rPr>
        <w:t>–</w:t>
      </w:r>
      <w:proofErr w:type="gramStart"/>
      <w:r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CB483A">
        <w:rPr>
          <w:b/>
          <w:bCs/>
          <w:sz w:val="24"/>
          <w:szCs w:val="24"/>
        </w:rPr>
        <w:t>2</w:t>
      </w:r>
      <w:r w:rsidR="004961DA">
        <w:rPr>
          <w:b/>
          <w:bCs/>
          <w:sz w:val="24"/>
          <w:szCs w:val="24"/>
        </w:rPr>
        <w:t>6</w:t>
      </w:r>
      <w:r w:rsidR="00020CC6" w:rsidRPr="006310AD">
        <w:rPr>
          <w:b/>
          <w:bCs/>
          <w:sz w:val="24"/>
          <w:szCs w:val="24"/>
        </w:rPr>
        <w:t xml:space="preserve">. </w:t>
      </w:r>
      <w:r w:rsidR="00B846A0">
        <w:rPr>
          <w:b/>
          <w:bCs/>
          <w:sz w:val="24"/>
          <w:szCs w:val="24"/>
        </w:rPr>
        <w:t>0</w:t>
      </w:r>
      <w:r w:rsidR="00CB483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4961DA">
        <w:rPr>
          <w:b/>
          <w:bCs/>
          <w:sz w:val="24"/>
          <w:szCs w:val="24"/>
        </w:rPr>
        <w:t>05</w:t>
      </w:r>
      <w:r w:rsidR="00020CC6" w:rsidRPr="006310AD">
        <w:rPr>
          <w:b/>
          <w:bCs/>
          <w:sz w:val="24"/>
          <w:szCs w:val="24"/>
        </w:rPr>
        <w:t xml:space="preserve">. </w:t>
      </w:r>
      <w:r w:rsidR="004961DA">
        <w:rPr>
          <w:b/>
          <w:bCs/>
          <w:sz w:val="24"/>
          <w:szCs w:val="24"/>
        </w:rPr>
        <w:t>03.</w:t>
      </w:r>
      <w:r w:rsidR="00020CC6" w:rsidRPr="006310AD">
        <w:rPr>
          <w:b/>
          <w:bCs/>
          <w:sz w:val="24"/>
          <w:szCs w:val="24"/>
        </w:rPr>
        <w:t xml:space="preserve">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4961DA">
        <w:rPr>
          <w:b/>
          <w:bCs/>
          <w:sz w:val="24"/>
          <w:szCs w:val="24"/>
        </w:rPr>
        <w:t>05</w:t>
      </w:r>
      <w:r w:rsidR="004961DA" w:rsidRPr="006310AD">
        <w:rPr>
          <w:b/>
          <w:bCs/>
          <w:sz w:val="24"/>
          <w:szCs w:val="24"/>
        </w:rPr>
        <w:t xml:space="preserve">. </w:t>
      </w:r>
      <w:r w:rsidR="004961DA">
        <w:rPr>
          <w:b/>
          <w:bCs/>
          <w:sz w:val="24"/>
          <w:szCs w:val="24"/>
        </w:rPr>
        <w:t>03.</w:t>
      </w:r>
      <w:r w:rsidR="004961DA" w:rsidRPr="006310AD">
        <w:rPr>
          <w:b/>
          <w:bCs/>
          <w:sz w:val="24"/>
          <w:szCs w:val="24"/>
        </w:rPr>
        <w:t xml:space="preserve">  </w:t>
      </w:r>
      <w:r w:rsidR="00020CC6" w:rsidRPr="006310AD">
        <w:rPr>
          <w:b/>
          <w:bCs/>
          <w:sz w:val="24"/>
          <w:szCs w:val="24"/>
        </w:rPr>
        <w:t>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CB483A">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CB483A">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CB483A">
      <w:pPr>
        <w:pStyle w:val="afe"/>
        <w:numPr>
          <w:ilvl w:val="0"/>
          <w:numId w:val="10"/>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CB483A">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CB483A">
      <w:pPr>
        <w:pStyle w:val="a3"/>
        <w:numPr>
          <w:ilvl w:val="1"/>
          <w:numId w:val="21"/>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CB483A">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 xml:space="preserve">Участник запроса котировок не представил разъяснения положений котировочной заявки (в случае наличия требования в котировочной </w:t>
      </w:r>
      <w:r w:rsidRPr="004A7484">
        <w:rPr>
          <w:sz w:val="22"/>
          <w:szCs w:val="22"/>
        </w:rPr>
        <w:lastRenderedPageBreak/>
        <w:t>документации)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CB483A">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CB483A">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CB483A">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CB483A">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F0D4B">
      <w:pPr>
        <w:pStyle w:val="afe"/>
        <w:numPr>
          <w:ilvl w:val="0"/>
          <w:numId w:val="10"/>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F0D4B">
      <w:pPr>
        <w:pStyle w:val="afe"/>
        <w:numPr>
          <w:ilvl w:val="1"/>
          <w:numId w:val="10"/>
        </w:numPr>
        <w:ind w:left="284" w:hanging="164"/>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 xml:space="preserve">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r w:rsidR="00DC2D2A" w:rsidRPr="004A7484">
        <w:rPr>
          <w:sz w:val="22"/>
          <w:szCs w:val="22"/>
        </w:rPr>
        <w:lastRenderedPageBreak/>
        <w:t>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F0D4B">
      <w:pPr>
        <w:pStyle w:val="afe"/>
        <w:numPr>
          <w:ilvl w:val="0"/>
          <w:numId w:val="41"/>
        </w:numPr>
        <w:ind w:left="284" w:hanging="164"/>
        <w:jc w:val="both"/>
        <w:rPr>
          <w:b/>
          <w:sz w:val="22"/>
          <w:szCs w:val="22"/>
        </w:rPr>
      </w:pPr>
      <w:r w:rsidRPr="004A7484">
        <w:rPr>
          <w:sz w:val="22"/>
          <w:szCs w:val="22"/>
        </w:rPr>
        <w:t xml:space="preserve"> </w:t>
      </w:r>
      <w:r w:rsidRPr="004A7484">
        <w:rPr>
          <w:b/>
          <w:sz w:val="22"/>
          <w:szCs w:val="22"/>
        </w:rPr>
        <w:t>Проведение переторжки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F0D4B">
      <w:pPr>
        <w:pStyle w:val="a3"/>
        <w:numPr>
          <w:ilvl w:val="1"/>
          <w:numId w:val="26"/>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F0D4B">
      <w:pPr>
        <w:pStyle w:val="afe"/>
        <w:numPr>
          <w:ilvl w:val="0"/>
          <w:numId w:val="41"/>
        </w:numPr>
        <w:ind w:left="284" w:hanging="164"/>
        <w:jc w:val="both"/>
        <w:rPr>
          <w:b/>
          <w:sz w:val="22"/>
          <w:szCs w:val="22"/>
        </w:rPr>
      </w:pPr>
      <w:r w:rsidRPr="004A7484">
        <w:rPr>
          <w:b/>
          <w:sz w:val="22"/>
          <w:szCs w:val="22"/>
        </w:rPr>
        <w:t>Котировочная заявка</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lastRenderedPageBreak/>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F0D4B">
      <w:pPr>
        <w:pStyle w:val="afe"/>
        <w:numPr>
          <w:ilvl w:val="0"/>
          <w:numId w:val="41"/>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F0D4B">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F0D4B">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F0D4B">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1F0D4B">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F0D4B">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F0D4B">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F0D4B">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F0D4B">
      <w:pPr>
        <w:pStyle w:val="afe"/>
        <w:numPr>
          <w:ilvl w:val="1"/>
          <w:numId w:val="41"/>
        </w:numPr>
        <w:ind w:left="284" w:hanging="164"/>
        <w:jc w:val="both"/>
        <w:rPr>
          <w:b/>
          <w:sz w:val="22"/>
          <w:szCs w:val="22"/>
        </w:rPr>
      </w:pPr>
      <w:r w:rsidRPr="001F0D4B">
        <w:rPr>
          <w:sz w:val="22"/>
          <w:szCs w:val="22"/>
        </w:rPr>
        <w:lastRenderedPageBreak/>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F0D4B">
      <w:pPr>
        <w:pStyle w:val="afe"/>
        <w:numPr>
          <w:ilvl w:val="1"/>
          <w:numId w:val="41"/>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F0D4B">
      <w:pPr>
        <w:pStyle w:val="afe"/>
        <w:numPr>
          <w:ilvl w:val="0"/>
          <w:numId w:val="41"/>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F0D4B">
      <w:pPr>
        <w:pStyle w:val="afe"/>
        <w:numPr>
          <w:ilvl w:val="1"/>
          <w:numId w:val="41"/>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2C" w:rsidRDefault="003B522C">
      <w:r>
        <w:separator/>
      </w:r>
    </w:p>
  </w:endnote>
  <w:endnote w:type="continuationSeparator" w:id="0">
    <w:p w:rsidR="003B522C" w:rsidRDefault="003B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1A" w:rsidRDefault="0084401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401A" w:rsidRDefault="008440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1A" w:rsidRDefault="0084401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D7597">
      <w:rPr>
        <w:rStyle w:val="aa"/>
        <w:noProof/>
      </w:rPr>
      <w:t>7</w:t>
    </w:r>
    <w:r>
      <w:rPr>
        <w:rStyle w:val="aa"/>
      </w:rPr>
      <w:fldChar w:fldCharType="end"/>
    </w:r>
  </w:p>
  <w:p w:rsidR="0084401A" w:rsidRDefault="008440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2C" w:rsidRDefault="003B522C">
      <w:r>
        <w:separator/>
      </w:r>
    </w:p>
  </w:footnote>
  <w:footnote w:type="continuationSeparator" w:id="0">
    <w:p w:rsidR="003B522C" w:rsidRDefault="003B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1A" w:rsidRDefault="0084401A">
    <w:pPr>
      <w:pStyle w:val="af7"/>
      <w:jc w:val="center"/>
    </w:pPr>
    <w:r>
      <w:fldChar w:fldCharType="begin"/>
    </w:r>
    <w:r>
      <w:instrText xml:space="preserve"> PAGE   \* MERGEFORMAT </w:instrText>
    </w:r>
    <w:r>
      <w:fldChar w:fldCharType="separate"/>
    </w:r>
    <w:r w:rsidR="009D7597">
      <w:rPr>
        <w:noProof/>
      </w:rPr>
      <w:t>25</w:t>
    </w:r>
    <w:r>
      <w:fldChar w:fldCharType="end"/>
    </w:r>
  </w:p>
  <w:p w:rsidR="0084401A" w:rsidRDefault="0084401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1A" w:rsidRDefault="0084401A">
    <w:pPr>
      <w:pStyle w:val="af7"/>
      <w:jc w:val="center"/>
    </w:pPr>
  </w:p>
  <w:p w:rsidR="0084401A" w:rsidRDefault="0084401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57F7AE2"/>
    <w:multiLevelType w:val="multilevel"/>
    <w:tmpl w:val="0EB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60EB6"/>
    <w:multiLevelType w:val="hybridMultilevel"/>
    <w:tmpl w:val="4C98CC20"/>
    <w:lvl w:ilvl="0" w:tplc="8EB675D8">
      <w:start w:val="34"/>
      <w:numFmt w:val="decimal"/>
      <w:lvlText w:val="%1"/>
      <w:lvlJc w:val="left"/>
      <w:pPr>
        <w:ind w:left="780" w:hanging="360"/>
      </w:pPr>
      <w:rPr>
        <w:rFonts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2">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4D6DAE"/>
    <w:multiLevelType w:val="multilevel"/>
    <w:tmpl w:val="FE9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43"/>
  </w:num>
  <w:num w:numId="4">
    <w:abstractNumId w:val="20"/>
  </w:num>
  <w:num w:numId="5">
    <w:abstractNumId w:val="39"/>
  </w:num>
  <w:num w:numId="6">
    <w:abstractNumId w:val="27"/>
  </w:num>
  <w:num w:numId="7">
    <w:abstractNumId w:val="42"/>
  </w:num>
  <w:num w:numId="8">
    <w:abstractNumId w:val="35"/>
  </w:num>
  <w:num w:numId="9">
    <w:abstractNumId w:val="19"/>
  </w:num>
  <w:num w:numId="10">
    <w:abstractNumId w:val="1"/>
  </w:num>
  <w:num w:numId="11">
    <w:abstractNumId w:val="25"/>
  </w:num>
  <w:num w:numId="12">
    <w:abstractNumId w:val="41"/>
  </w:num>
  <w:num w:numId="13">
    <w:abstractNumId w:val="17"/>
  </w:num>
  <w:num w:numId="14">
    <w:abstractNumId w:val="31"/>
  </w:num>
  <w:num w:numId="15">
    <w:abstractNumId w:val="29"/>
  </w:num>
  <w:num w:numId="16">
    <w:abstractNumId w:val="33"/>
  </w:num>
  <w:num w:numId="17">
    <w:abstractNumId w:val="34"/>
  </w:num>
  <w:num w:numId="18">
    <w:abstractNumId w:val="0"/>
  </w:num>
  <w:num w:numId="19">
    <w:abstractNumId w:val="36"/>
  </w:num>
  <w:num w:numId="20">
    <w:abstractNumId w:val="2"/>
  </w:num>
  <w:num w:numId="21">
    <w:abstractNumId w:val="5"/>
  </w:num>
  <w:num w:numId="22">
    <w:abstractNumId w:val="24"/>
  </w:num>
  <w:num w:numId="23">
    <w:abstractNumId w:val="32"/>
  </w:num>
  <w:num w:numId="24">
    <w:abstractNumId w:val="28"/>
  </w:num>
  <w:num w:numId="25">
    <w:abstractNumId w:val="37"/>
  </w:num>
  <w:num w:numId="26">
    <w:abstractNumId w:val="23"/>
  </w:num>
  <w:num w:numId="27">
    <w:abstractNumId w:val="3"/>
  </w:num>
  <w:num w:numId="28">
    <w:abstractNumId w:val="40"/>
  </w:num>
  <w:num w:numId="29">
    <w:abstractNumId w:val="38"/>
  </w:num>
  <w:num w:numId="30">
    <w:abstractNumId w:val="44"/>
  </w:num>
  <w:num w:numId="31">
    <w:abstractNumId w:val="26"/>
  </w:num>
  <w:num w:numId="32">
    <w:abstractNumId w:val="15"/>
  </w:num>
  <w:num w:numId="33">
    <w:abstractNumId w:val="14"/>
  </w:num>
  <w:num w:numId="34">
    <w:abstractNumId w:val="21"/>
  </w:num>
  <w:num w:numId="35">
    <w:abstractNumId w:val="10"/>
  </w:num>
  <w:num w:numId="36">
    <w:abstractNumId w:val="7"/>
  </w:num>
  <w:num w:numId="37">
    <w:abstractNumId w:val="16"/>
    <w:lvlOverride w:ilvl="0">
      <w:startOverride w:val="1"/>
    </w:lvlOverride>
  </w:num>
  <w:num w:numId="38">
    <w:abstractNumId w:val="22"/>
  </w:num>
  <w:num w:numId="39">
    <w:abstractNumId w:val="4"/>
  </w:num>
  <w:num w:numId="40">
    <w:abstractNumId w:val="12"/>
  </w:num>
  <w:num w:numId="41">
    <w:abstractNumId w:val="30"/>
  </w:num>
  <w:num w:numId="42">
    <w:abstractNumId w:val="11"/>
  </w:num>
  <w:num w:numId="43">
    <w:abstractNumId w:val="9"/>
  </w:num>
  <w:num w:numId="44">
    <w:abstractNumId w:val="6"/>
  </w:num>
  <w:num w:numId="45">
    <w:abstractNumId w:val="45"/>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948A8"/>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B522C"/>
    <w:rsid w:val="003C5512"/>
    <w:rsid w:val="003E20E3"/>
    <w:rsid w:val="003F682D"/>
    <w:rsid w:val="00416F23"/>
    <w:rsid w:val="00440BFB"/>
    <w:rsid w:val="00441ECE"/>
    <w:rsid w:val="00462427"/>
    <w:rsid w:val="00464FDD"/>
    <w:rsid w:val="00465091"/>
    <w:rsid w:val="00486674"/>
    <w:rsid w:val="004961DA"/>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B0A60"/>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0B4A"/>
    <w:rsid w:val="008220A4"/>
    <w:rsid w:val="0084401A"/>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D7597"/>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53E9"/>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378D"/>
    <w:rsid w:val="00D7628E"/>
    <w:rsid w:val="00DA53DE"/>
    <w:rsid w:val="00DB5D20"/>
    <w:rsid w:val="00DC2D2A"/>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5174-FF8C-45A4-84BA-68C5A650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10818</Words>
  <Characters>61665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72339</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15</cp:revision>
  <cp:lastPrinted>2018-08-16T06:31:00Z</cp:lastPrinted>
  <dcterms:created xsi:type="dcterms:W3CDTF">2018-12-20T10:40:00Z</dcterms:created>
  <dcterms:modified xsi:type="dcterms:W3CDTF">2019-02-26T04:53:00Z</dcterms:modified>
</cp:coreProperties>
</file>